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spacing w:lineRule="auto" w:line="240" w:before="0" w:after="0"/>
        <w:rPr/>
      </w:pPr>
      <w:r>
        <w:rPr/>
        <w:t>Jednoduchý přijímač CW/SSB stanic</w:t>
      </w:r>
    </w:p>
    <w:p>
      <w:pPr>
        <w:pStyle w:val="Title"/>
        <w:spacing w:lineRule="auto" w:line="240" w:before="0" w:after="0"/>
        <w:rPr/>
      </w:pPr>
      <w:r>
        <w:rPr/>
        <w:t>pro KV radioamatérská pásma</w:t>
      </w:r>
    </w:p>
    <w:p>
      <w:pPr>
        <w:pStyle w:val="Title"/>
        <w:spacing w:lineRule="auto" w:line="240" w:before="0" w:after="0"/>
        <w:rPr/>
      </w:pPr>
      <w:r>
        <w:rPr/>
      </w:r>
    </w:p>
    <w:p>
      <w:pPr>
        <w:pStyle w:val="Heading3"/>
        <w:spacing w:before="0" w:after="0"/>
        <w:rPr/>
      </w:pPr>
      <w:r>
        <w:rPr/>
        <w:t>Ing. Jiří Martinek, OK1FCB</w:t>
      </w:r>
    </w:p>
    <w:p>
      <w:pPr>
        <w:pStyle w:val="Normal"/>
        <w:rPr>
          <w:b/>
          <w:u w:val="single"/>
        </w:rPr>
      </w:pPr>
      <w:r>
        <w:rPr>
          <w:b/>
          <w:u w:val="single"/>
        </w:rPr>
        <w:t>Úvod</w:t>
      </w:r>
    </w:p>
    <w:p>
      <w:pPr>
        <w:pStyle w:val="Normal"/>
        <w:rPr>
          <w:b/>
          <w:u w:val="single"/>
        </w:rPr>
      </w:pPr>
      <w:r>
        <w:rPr>
          <w:b/>
          <w:u w:val="single"/>
        </w:rPr>
      </w:r>
    </w:p>
    <w:p>
      <w:pPr>
        <w:pStyle w:val="BodyText"/>
        <w:spacing w:before="0" w:after="0"/>
        <w:ind w:firstLine="720"/>
        <w:rPr/>
      </w:pPr>
      <w:r>
        <w:rPr/>
        <w:t>Přijímače s přímým směšováním patří mezi jednoduché přijímače CW/SSB stanic. Pokud se jejich konstrukci věnuje dostatečná pozornost, jsou dosažené výsledky překvapující. Návrh této konstrukce vychází z požadavků začínajících radioamatérů se zájmem o provoz na KV. Uvedená konstrukce není finančně náročná, obsahuje minimální počet cívek, použité cívky lze zakoupit, oživení přijímače je jednoduché, vybrané součástky jsou běžně dostupné a přijímač je vestavěn do univerzální krabičky.</w:t>
      </w:r>
    </w:p>
    <w:p>
      <w:pPr>
        <w:pStyle w:val="Normal"/>
        <w:rPr>
          <w:b/>
          <w:u w:val="single"/>
        </w:rPr>
      </w:pPr>
      <w:r>
        <w:rPr>
          <w:b/>
          <w:u w:val="single"/>
        </w:rPr>
      </w:r>
    </w:p>
    <w:p>
      <w:pPr>
        <w:pStyle w:val="Normal"/>
        <w:rPr>
          <w:b/>
          <w:u w:val="single"/>
        </w:rPr>
      </w:pPr>
      <w:r>
        <w:rPr>
          <w:b/>
          <w:u w:val="single"/>
        </w:rPr>
        <w:t>Princip přijímače s přímým směšováním</w:t>
      </w:r>
    </w:p>
    <w:p>
      <w:pPr>
        <w:pStyle w:val="Normal"/>
        <w:spacing w:before="120" w:after="0"/>
        <w:rPr/>
      </w:pPr>
      <w:r>
        <w:rPr/>
      </w:r>
    </w:p>
    <w:p>
      <w:pPr>
        <w:pStyle w:val="Normal"/>
        <w:rPr/>
      </w:pPr>
      <w:r>
        <w:drawing>
          <wp:anchor behindDoc="0" distT="0" distB="0" distL="114300" distR="114300" simplePos="0" locked="0" layoutInCell="0" allowOverlap="1" relativeHeight="2">
            <wp:simplePos x="0" y="0"/>
            <wp:positionH relativeFrom="column">
              <wp:align>center</wp:align>
            </wp:positionH>
            <wp:positionV relativeFrom="paragraph">
              <wp:posOffset>114935</wp:posOffset>
            </wp:positionV>
            <wp:extent cx="3977640" cy="1581785"/>
            <wp:effectExtent l="0" t="0" r="0" b="0"/>
            <wp:wrapTopAndBottom/>
            <wp:docPr id="1" name="obrázek 2" descr="OBR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2" descr="OBR1.TIF"/>
                    <pic:cNvPicPr>
                      <a:picLocks noChangeAspect="1" noChangeArrowheads="1"/>
                    </pic:cNvPicPr>
                  </pic:nvPicPr>
                  <pic:blipFill>
                    <a:blip r:embed="rId2"/>
                    <a:stretch>
                      <a:fillRect/>
                    </a:stretch>
                  </pic:blipFill>
                  <pic:spPr bwMode="auto">
                    <a:xfrm>
                      <a:off x="0" y="0"/>
                      <a:ext cx="3977640" cy="1581785"/>
                    </a:xfrm>
                    <a:prstGeom prst="rect">
                      <a:avLst/>
                    </a:prstGeom>
                    <a:noFill/>
                  </pic:spPr>
                </pic:pic>
              </a:graphicData>
            </a:graphic>
          </wp:anchor>
        </w:drawing>
      </w:r>
      <w:r>
        <w:rPr/>
        <w:t xml:space="preserve"> </w:t>
      </w:r>
    </w:p>
    <w:p>
      <w:pPr>
        <w:pStyle w:val="Heading2"/>
        <w:jc w:val="center"/>
        <w:rPr/>
      </w:pPr>
      <w:r>
        <w:rPr/>
        <w:t>Obr. 1. Blokové zapojení přijímače s přímým směšováním</w:t>
      </w:r>
    </w:p>
    <w:p>
      <w:pPr>
        <w:pStyle w:val="Normal"/>
        <w:rPr/>
      </w:pPr>
      <w:r>
        <w:rPr/>
      </w:r>
    </w:p>
    <w:p>
      <w:pPr>
        <w:pStyle w:val="Normal"/>
        <w:ind w:firstLine="720"/>
        <w:jc w:val="both"/>
        <w:rPr>
          <w:vertAlign w:val="subscript"/>
        </w:rPr>
      </w:pPr>
      <w:r>
        <w:rPr/>
        <w:t>Přijímaný signál f</w:t>
      </w:r>
      <w:r>
        <w:rPr>
          <w:vertAlign w:val="subscript"/>
        </w:rPr>
        <w:t>x</w:t>
      </w:r>
      <w:r>
        <w:rPr/>
        <w:t xml:space="preserve"> je veden z antény přes vstupní rezonanční obvod do prvního vstupu směšovače. Potřeba obnovení nosné vlny je řešena zavedením oscilátorového napětí fo do druhého vstupu směšovače. Vstupní rezonanční obvod a oscilátor jsou laděny v souběhu na stejný kmitočet. Výsledný rozdílový kmitočet f</w:t>
      </w:r>
      <w:r>
        <w:rPr>
          <w:position w:val="-6"/>
        </w:rPr>
        <w:t>nf</w:t>
      </w:r>
      <w:r>
        <w:rPr/>
        <w:t xml:space="preserve"> je tedy již demodulovaný signál ve slyšitelném pásmu.</w:t>
      </w:r>
    </w:p>
    <w:p>
      <w:pPr>
        <w:pStyle w:val="BodyTextIndent"/>
        <w:rPr/>
      </w:pPr>
      <w:r>
        <w:rPr/>
        <w:t>Hlavní selektivitu tvoří pásmová propust (300-2700 Hz) na výstupu směšovače. Přijímače tohoto typu nemají žádnou zrcadlovou selektivitu. Přijímačem je proto možné poslouchat stanice SSB, které pracující jak s dolním (LSB), tak s horním (USB) postranním pásmem. Signál dále prochází do NF zesilovače, ve kterém je soustředěno prakticky celé zesílení přijímače (80-100 dB). Vzhledem k velkému zesílení NF zesilovače je tento typ přijímače citlivý na správný návrh zemních bodů, mikrofoničnost a šumové parametry součástek. Proudové smyčky mohou vytvářet nežádoucí vazby, které jsou příčinou nepříjemných zvuků na výstupu NF zesilovače. Při konstrukci a návrhu přijímače je nutné tyto vlastnosti respektovat.</w:t>
      </w:r>
    </w:p>
    <w:p>
      <w:pPr>
        <w:pStyle w:val="Normal"/>
        <w:jc w:val="both"/>
        <w:rPr/>
      </w:pPr>
      <w:r>
        <w:rPr/>
      </w:r>
    </w:p>
    <w:p>
      <w:pPr>
        <w:pStyle w:val="Normal"/>
        <w:rPr>
          <w:b/>
          <w:u w:val="single"/>
        </w:rPr>
      </w:pPr>
      <w:r>
        <w:rPr>
          <w:b/>
          <w:u w:val="single"/>
        </w:rPr>
        <w:t>Popis zapojení</w:t>
      </w:r>
    </w:p>
    <w:p>
      <w:pPr>
        <w:pStyle w:val="Normal"/>
        <w:rPr>
          <w:b/>
          <w:u w:val="single"/>
        </w:rPr>
      </w:pPr>
      <w:r>
        <w:rPr>
          <w:b/>
          <w:u w:val="single"/>
        </w:rPr>
      </w:r>
    </w:p>
    <w:p>
      <w:pPr>
        <w:pStyle w:val="BodyTextIndent"/>
        <w:rPr/>
      </w:pPr>
      <w:r>
        <w:rPr/>
        <w:t>Schéma zapojení přijímače je na obr. 3. Signál z antény se přivádí na vysokoimpedanční vstup ANT. Z běžce potenciometru regulace VF je přes volnou vazbu C1 připojen vstupní paralelní rezonanční obvod L1, C23, C2 a VD1. Napětí na vstupním rezonančním obvodu je přímo vedeno do báze G1 tranzistoru VT1. Tranzistor VT1 (dvoubázový N-MOSFET) pracuje jako aktivní směšovač a zajišťuje oddělení vstupu přijímače od oscilátoru. Oscilátorové napětí je přivedeno do báze G2. Tranzistor VT2 (N-FET) pracuje v obvodu Vackářova oscilátoru. Vackářův oscilátor používá sériově laděný obvod L2, C24, C10 a VD2. Souběh obou rezonančních obvodů je zajištěn přivedením společného ladícího napětí UP3 na katody kapacitních diod VD1 a VD2. Výstupní napětí směšovače je vedeno přes C4 na kaskádu dvou NF zesilovačů s upravenou kmitočtovou charakteristikou. První stupeň tvoří VT3, následuje potenciometr regulace NF a druhý stupeň je tvořen výkonovým NF zesilovačem DD1 (TDA2003 STMicroelectronics). Potlačení nízkých kmitočtů je dosaženo použitím nízkých vazebních kapacit. Potlačení vysokých kmitočtů je řešeno zavedením kmitočtově závislé záporné zpětné vazby C5, C15 a R13. Pro zvýšení stability kmitočtu a snížení zvlnění napájecího napětí je většina obvodů napájena z lineárního stabilizátoru DD2. Dioda VD4 chrání obvody přijímače proti přepólování. Rezistor R15 spolu s C21 a C22 snižují zvlnění napájecího napětí.</w:t>
      </w:r>
    </w:p>
    <w:p>
      <w:pPr>
        <w:pStyle w:val="Normal"/>
        <w:rPr>
          <w:b/>
          <w:u w:val="single"/>
        </w:rPr>
      </w:pPr>
      <w:r>
        <w:rPr>
          <w:b/>
          <w:u w:val="single"/>
        </w:rPr>
      </w:r>
    </w:p>
    <w:p>
      <w:pPr>
        <w:pStyle w:val="Normal"/>
        <w:rPr>
          <w:b/>
          <w:u w:val="single"/>
        </w:rPr>
      </w:pPr>
      <w:r>
        <w:rPr>
          <w:b/>
          <w:u w:val="single"/>
        </w:rPr>
        <w:t>Popis konstrukce</w:t>
      </w:r>
    </w:p>
    <w:p>
      <w:pPr>
        <w:pStyle w:val="Normal"/>
        <w:rPr>
          <w:b/>
          <w:u w:val="single"/>
        </w:rPr>
      </w:pPr>
      <w:r>
        <w:rPr>
          <w:b/>
          <w:u w:val="single"/>
        </w:rPr>
      </w:r>
    </w:p>
    <w:p>
      <w:pPr>
        <w:pStyle w:val="BodyTextIndent"/>
        <w:rPr/>
      </w:pPr>
      <w:r>
        <w:rPr/>
        <w:t>Pro návrh desky s plošnými spoji byla zvolena varianta oboustra</w:t>
      </w:r>
      <w:r>
        <w:rPr/>
        <w:t>n</w:t>
      </w:r>
      <w:r>
        <w:rPr/>
        <w:t>ně plátované desky (80x97 mm), umožňující montáž do univerzální plastové krabičky. Deska byla navržena s ohledem na snadnou amatérskou výrobu fotocestou. Strana součástek je v celé ploše spojena se signálem 0 V. Na straně spojů se podle vymezovacích čar vyvrtá otvor pro reproduktor, středový sloupek a čtyři montážní otvory. Otvory pro vývody součástek, které se pájí na straně spojů, se na straně součástek zahloubí silnějším vrtákem. Vývody součástek, které jsou spojeny se signálem 0 V, se pájí na straně součástek. Deska plošných spojů je navržena se snahou minimalizovat nežádoucí vazby.</w:t>
      </w:r>
    </w:p>
    <w:p>
      <w:pPr>
        <w:pStyle w:val="Normal"/>
        <w:ind w:firstLine="720"/>
        <w:jc w:val="both"/>
        <w:rPr/>
      </w:pPr>
      <w:r>
        <w:rPr/>
        <w:t>Vývody součástek jsou zkráceny na nejmenší nutnou délku. V</w:t>
      </w:r>
      <w:r>
        <w:rPr/>
        <w:t>ý</w:t>
      </w:r>
      <w:r>
        <w:rPr/>
        <w:t>j</w:t>
      </w:r>
      <w:r>
        <w:rPr/>
        <w:t>i</w:t>
      </w:r>
      <w:r>
        <w:rPr/>
        <w:t>mku tvoří cívky L1 a L2, které je nutno pájet asi 5 mm nad desku plošných spojů.</w:t>
      </w:r>
    </w:p>
    <w:p>
      <w:pPr>
        <w:pStyle w:val="Normal"/>
        <w:ind w:firstLine="720"/>
        <w:jc w:val="both"/>
        <w:rPr/>
      </w:pPr>
      <w:r>
        <w:rPr/>
        <w:t>Na straně součástek jsou ve středu čtyř krajních montážních otvorů zapájeny mosazné matky M3. Deska plošných spojů je upevněna čtyřmi šrouby M3, které prochází středem krajních distančních sloupků v krabičce. Hlavička každého šroubu je ukryta v plastové nožičce.</w:t>
      </w:r>
    </w:p>
    <w:p>
      <w:pPr>
        <w:pStyle w:val="Normal"/>
        <w:ind w:firstLine="720"/>
        <w:jc w:val="both"/>
        <w:rPr/>
      </w:pPr>
      <w:r>
        <w:rPr/>
        <w:t>Vnitřní reproduktor musí být dobře mechanicky upevněn aby nedocházelo k nežádoucím rezonancím. Ve spodní stěně krabičky je vyvrtáno několik menších děr v mřížovém rastru. Na tyto otvory je položen reproduktor o průměru 50 mm, který je částečně fixován boční stěnou a středovým sloupkem. Kolem reproduktoru je stočen proužek molitanu, který po upevnění desky spojů tlačí reproduktor na spodní stěnu krabičky. Nastavení hlasitosti poslechu je nutné volit úměrně k nízkému výkonu reproduktoru.</w:t>
      </w:r>
    </w:p>
    <w:p>
      <w:pPr>
        <w:pStyle w:val="BodyTextIndent"/>
        <w:rPr/>
      </w:pPr>
      <w:r>
        <w:rPr/>
        <w:t>Přijímač se ladí změnou nastavení polohy potenciometru P3. Jako náhrada stupnice může posloužit malý ručkový mikroampérmetr, který se zapojí do série s vhodným rezistorem mezi body 0 V a UP3.</w:t>
      </w:r>
    </w:p>
    <w:p>
      <w:pPr>
        <w:pStyle w:val="Normal"/>
        <w:ind w:firstLine="720"/>
        <w:jc w:val="both"/>
        <w:rPr/>
      </w:pPr>
      <w:r>
        <w:rPr/>
        <w:t>Použitý napájecí zdroj musí respektovat odběr proudu výkonového NF zesilovače a náchylnost přijímače na zvlnění napětí. Napájecí napětí se může pohybovat v rozmezí 12 V až 18 V. Zvlnění napětí při proudu 50 mA by mělo být menší než 200 mV. Odběr proudu celého přijímače ze stabilizovaného zdroje 12 V v klidu je asi 50 mA. Při zatížení výstupu NF zesilovače reproduktorem s impedancí 4 </w:t>
      </w:r>
      <w:r>
        <w:rPr>
          <w:rFonts w:eastAsia="Symbol" w:cs="Symbol" w:ascii="Symbol" w:hAnsi="Symbol"/>
        </w:rPr>
        <w:sym w:font="Symbol" w:char="f057"/>
      </w:r>
      <w:r>
        <w:rPr/>
        <w:t xml:space="preserve"> stoupne ve špičkách až na 400 mA. Velmi důležité je VF blokování usměrňovacích diod zdroje. Celá napájecí soustava, včetně síťového rozvodu, tvoří společně s anténou anténní systém přijímače. Bude-li tento systém přerušován v rytmu spínání diod zdroje, objeví se na výstupu NF zesilovače brum. Tento jev lze také potlačit několikanásobným protažením všech napájecích vodičů toroidním jádrem s velkou permeabilitou (například H20).</w:t>
      </w:r>
    </w:p>
    <w:p>
      <w:pPr>
        <w:pStyle w:val="Normal"/>
        <w:ind w:firstLine="720"/>
        <w:jc w:val="both"/>
        <w:rPr/>
      </w:pPr>
      <w:r>
        <w:rPr/>
      </w:r>
    </w:p>
    <w:p>
      <w:pPr>
        <w:pStyle w:val="Heading2"/>
        <w:jc w:val="center"/>
        <w:rPr/>
      </w:pPr>
      <w:r>
        <w:drawing>
          <wp:anchor behindDoc="0" distT="0" distB="0" distL="114300" distR="114300" simplePos="0" locked="0" layoutInCell="0" allowOverlap="1" relativeHeight="3">
            <wp:simplePos x="0" y="0"/>
            <wp:positionH relativeFrom="column">
              <wp:align>center</wp:align>
            </wp:positionH>
            <wp:positionV relativeFrom="paragraph">
              <wp:posOffset>92075</wp:posOffset>
            </wp:positionV>
            <wp:extent cx="5267325" cy="1538605"/>
            <wp:effectExtent l="0" t="0" r="0" b="0"/>
            <wp:wrapTopAndBottom/>
            <wp:docPr id="2" name="obrázek 3" descr="OBR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3" descr="OBR2.TIF"/>
                    <pic:cNvPicPr>
                      <a:picLocks noChangeAspect="1" noChangeArrowheads="1"/>
                    </pic:cNvPicPr>
                  </pic:nvPicPr>
                  <pic:blipFill>
                    <a:blip r:embed="rId3"/>
                    <a:stretch>
                      <a:fillRect/>
                    </a:stretch>
                  </pic:blipFill>
                  <pic:spPr bwMode="auto">
                    <a:xfrm>
                      <a:off x="0" y="0"/>
                      <a:ext cx="5267325" cy="1538605"/>
                    </a:xfrm>
                    <a:prstGeom prst="rect">
                      <a:avLst/>
                    </a:prstGeom>
                    <a:noFill/>
                  </pic:spPr>
                </pic:pic>
              </a:graphicData>
            </a:graphic>
          </wp:anchor>
        </w:drawing>
      </w:r>
      <w:r>
        <w:rPr/>
        <w:t xml:space="preserve"> </w:t>
      </w:r>
    </w:p>
    <w:p>
      <w:pPr>
        <w:pStyle w:val="Heading2"/>
        <w:jc w:val="center"/>
        <w:rPr/>
      </w:pPr>
      <w:r>
        <w:rPr/>
        <w:t>Obr. 2. Příklad vhodného zdroje pro přijímač</w:t>
      </w:r>
    </w:p>
    <w:p>
      <w:pPr>
        <w:pStyle w:val="Normal"/>
        <w:rPr/>
      </w:pPr>
      <w:r>
        <w:rPr/>
      </w:r>
    </w:p>
    <w:p>
      <w:pPr>
        <w:pStyle w:val="Normal"/>
        <w:ind w:firstLine="720"/>
        <w:rPr/>
      </w:pPr>
      <w:r>
        <w:rPr/>
        <w:t>Přijímač je navržen pro připojení dlouhé drátové antény. Rezonanční délka antény se vypočte podle vzorce:</w:t>
      </w:r>
    </w:p>
    <w:p>
      <w:pPr>
        <w:pStyle w:val="Normal"/>
        <w:ind w:firstLine="720"/>
        <w:rPr/>
      </w:pPr>
      <w:r>
        <w:rPr/>
      </w:r>
    </w:p>
    <w:p>
      <w:pPr>
        <w:pStyle w:val="Normal"/>
        <w:jc w:val="center"/>
        <w:rPr/>
      </w:pPr>
      <w:r>
        <w:rPr/>
        <w:t>l = 150 x (</w:t>
      </w:r>
      <w:r>
        <w:rPr/>
        <w:t>n</w:t>
      </w:r>
      <w:r>
        <w:rPr/>
        <w:t xml:space="preserve"> – 0,05) / f</w:t>
      </w:r>
      <w:r>
        <w:rPr>
          <w:position w:val="-6"/>
        </w:rPr>
        <w:t>x</w:t>
      </w:r>
      <w:r>
        <w:rPr/>
        <w:t xml:space="preserve"> [m, MHz, </w:t>
      </w:r>
      <w:r>
        <w:rPr/>
        <w:t>n</w:t>
      </w:r>
      <w:r>
        <w:rPr/>
        <w:t xml:space="preserve"> = 1, 2, 3, ...]</w:t>
      </w:r>
    </w:p>
    <w:p>
      <w:pPr>
        <w:pStyle w:val="Normal"/>
        <w:rPr/>
      </w:pPr>
      <w:r>
        <w:rPr/>
      </w:r>
    </w:p>
    <w:p>
      <w:pPr>
        <w:pStyle w:val="BodyTextIndent"/>
        <w:rPr/>
      </w:pPr>
      <w:r>
        <w:rPr/>
        <w:t>Anténu vedeme pokud možno přímým směrem a co nejvýše nad zemí. Vodič zakončíme izolátory a k jednomu z konců připojíme co nejkratší drátový svod zakončený banánkem. V době otevření pásma lze přijímat signály i náhražkovou anténou délky několika metrů.</w:t>
      </w:r>
    </w:p>
    <w:p>
      <w:pPr>
        <w:pStyle w:val="BodyTextIndent"/>
        <w:rPr/>
      </w:pPr>
      <w:r>
        <w:rPr/>
      </w:r>
    </w:p>
    <w:p>
      <w:pPr>
        <w:pStyle w:val="BodyTextIndent"/>
        <w:rPr/>
      </w:pPr>
      <w:r>
        <w:rPr/>
        <w:t>Přijímač by měl být uzemněn. Vyhneme se tak nepříjemným účinkům atmosférické elektřiny. Pokud je již uzemněn zdroj napájecího napětí, můžeme uzemněním přijímače vytvořit smyčku, která může být příčinou brumu na výstupu NF zesilovače. Pokud přijímač nepoužíváme, anténu odpojíme a na bezpečném místě uzemníme.</w:t>
      </w:r>
    </w:p>
    <w:p>
      <w:pPr>
        <w:pStyle w:val="BodyTextIndent"/>
        <w:rPr/>
      </w:pPr>
      <w:r>
        <w:rPr/>
        <w:t xml:space="preserve">Pásmo 3,5 MHz je otevřené v noci, přes poledne zde provoz není. Naopak pásmo 14 MHz je otevřené přes den, v zimních nocích se uzavírá. Při příjmu v době otevření pásma může dojít k rušení poslechu CW/SSB stanic silnými rozhlasovými AM stanicemi, které pracují v okolí radioamatérského pásma. Rušení vzniká detekcí AM signálu ve struktuře tranzistoru. V tomto případě je nutné nastavit potenciometr P1 (VF) tak, aby k tomuto jevu nedocházelo. Hlasitost poslechu vždy regulujeme nastavením potenciometru P2 (NF). Situaci lze zlepšit zvýšením činitele jakosti vstupního rezonančního obvodu a pečlivým nastavením souběhu. Zvýšení činitele jakosti rezonančního obvodu lze dosáhnout použitím cívky L1 s vyšším činitelem jakosti. Lze například zhotovit cívku na vhodném toroidním jádře, tak jak to popisuje tabulka. </w:t>
      </w:r>
    </w:p>
    <w:p>
      <w:pPr>
        <w:pStyle w:val="BodyTextIndent"/>
        <w:rPr/>
      </w:pPr>
      <w:r>
        <w:rPr/>
        <w:t>Neuspokojivá kmitočtová stabilita oscilátoru (VFO) je nepříjemnou daní za jednoduchost zapojení. Čím vyšší je kmitočet oscilátoru, tím větší jsou odchylky od žádaného kmitočtu. Změna kmitočtu je způsobena především teplotní závislostí parametrů součástek v obvodu oscilátoru, dále mechanickou deformací konstrukce a změnou napájecího napětí. Při zachování konstantní teploty okolí a při ustálení kmitočtu po zapnutí, lze bez dolaďování vyslechnout několikaminutové spojení v pásmu 14 MHz. V pásmu 3,5 MHz je situace výrazně lepší.</w:t>
      </w:r>
    </w:p>
    <w:p>
      <w:pPr>
        <w:pStyle w:val="Normal"/>
        <w:rPr>
          <w:b/>
          <w:u w:val="single"/>
        </w:rPr>
      </w:pPr>
      <w:r>
        <w:rPr>
          <w:b/>
          <w:u w:val="single"/>
        </w:rPr>
      </w:r>
    </w:p>
    <w:p>
      <w:pPr>
        <w:pStyle w:val="Normal"/>
        <w:rPr>
          <w:b/>
          <w:u w:val="single"/>
        </w:rPr>
      </w:pPr>
      <w:r>
        <w:rPr>
          <w:b/>
          <w:u w:val="single"/>
        </w:rPr>
        <w:t>Nastavení a uvedení do provozu</w:t>
      </w:r>
    </w:p>
    <w:p>
      <w:pPr>
        <w:pStyle w:val="Normal"/>
        <w:spacing w:before="120" w:after="0"/>
        <w:rPr>
          <w:b/>
          <w:u w:val="single"/>
        </w:rPr>
      </w:pPr>
      <w:r>
        <w:rPr>
          <w:b/>
          <w:u w:val="single"/>
        </w:rPr>
      </w:r>
    </w:p>
    <w:p>
      <w:pPr>
        <w:pStyle w:val="BodyTextIndent"/>
        <w:rPr/>
      </w:pPr>
      <w:r>
        <w:rPr/>
        <w:t>Funkčnost přijímače na první zapojení je odměnou za pečlivost při jeho stavbě. Přijímač je vhodné nastavit v době otevření pásma. Způsobů nastavení je několik. K nastavení jsou zde pouze dva kapacitní trimry. Pro nastavení frekvence oscilátoru (C24) lze použít čítač, signální generátor nebo pomocný přijímač. Nastavení vstupního rezonančního obvodu (C23) lze provést pomocí signálního generátoru nebo pouze na nejlepší poslech. Znalci pásma mohou při troše trpělivosti přijímač nastavit bez jakéhokoliv vybavení.</w:t>
      </w:r>
    </w:p>
    <w:p>
      <w:pPr>
        <w:pStyle w:val="BodyTextIndent"/>
        <w:rPr/>
      </w:pPr>
      <w:r>
        <w:rPr/>
        <w:t>K přijímači připojíme anténu, sluchátka a vhodný zdroj. Regulaci VF a NF vytočíme na maximum. Překontrolujeme napětí na vstupu a výstupu stabilizátoru (DD2). Potenciometrem ladění nastavíme UP3 = 0 V. Hodnoty součástek, uvedených v tabulce, umožňují přeladit celé pásmo s přesahem asi 50 kHz na obou stranách. Proto nastavíme oscilátor asi 50 kHz pod konec pásma (3450 kHz). Frekvenci můžeme měřit na kondenzátoru C12 přes malou kapacitu zapojenou do série ke vstupu čítače. Dále překontrolujeme oscilátor pro UP3 = 8 V (3850 kHz). Na horní straně pásma naladíme radioamatérskou SSB stanici, snížíme regulaci VF a otáčením C23 nastavíme nejlepší poslech. Na spodní straně pásma naladíme CW stanici a znovu překontrolujeme nastavení C23. Nejlepší poslech by měl zůstat ve stejném bodě. Tím je nastavení ukončeno.</w:t>
      </w:r>
    </w:p>
    <w:p>
      <w:pPr>
        <w:pStyle w:val="Normal"/>
        <w:spacing w:before="120" w:after="0"/>
        <w:rPr>
          <w:b/>
          <w:u w:val="single"/>
        </w:rPr>
      </w:pPr>
      <w:r>
        <w:rPr>
          <w:b/>
          <w:u w:val="single"/>
        </w:rPr>
      </w:r>
    </w:p>
    <w:p>
      <w:pPr>
        <w:pStyle w:val="Normal"/>
        <w:rPr>
          <w:b/>
          <w:u w:val="single"/>
        </w:rPr>
      </w:pPr>
      <w:r>
        <w:rPr>
          <w:b/>
          <w:u w:val="single"/>
        </w:rPr>
        <w:t>Rozpiska součástek pro pásmo 3,5 MHz</w:t>
      </w:r>
    </w:p>
    <w:p>
      <w:pPr>
        <w:pStyle w:val="Normal"/>
        <w:rPr>
          <w:b/>
          <w:u w:val="single"/>
        </w:rPr>
      </w:pPr>
      <w:r>
        <w:rPr>
          <w:b/>
          <w:u w:val="single"/>
        </w:rPr>
      </w:r>
    </w:p>
    <w:p>
      <w:pPr>
        <w:pStyle w:val="Normal"/>
        <w:rPr>
          <w:b/>
        </w:rPr>
      </w:pPr>
      <w:r>
        <w:rPr>
          <w:b/>
        </w:rPr>
        <w:t>Součástky na desce plošných spojů</w:t>
      </w:r>
    </w:p>
    <w:p>
      <w:pPr>
        <w:pStyle w:val="Normal"/>
        <w:rPr/>
      </w:pPr>
      <w:r>
        <w:rPr/>
      </w:r>
    </w:p>
    <w:p>
      <w:pPr>
        <w:pStyle w:val="Normal"/>
        <w:tabs>
          <w:tab w:val="clear" w:pos="720"/>
          <w:tab w:val="left" w:pos="851" w:leader="none"/>
          <w:tab w:val="left" w:pos="5387" w:leader="none"/>
          <w:tab w:val="left" w:pos="6804" w:leader="none"/>
        </w:tabs>
        <w:rPr/>
      </w:pPr>
      <w:r>
        <w:rPr/>
        <w:t xml:space="preserve">DD1 </w:t>
        <w:tab/>
        <w:t>NF zesilovač</w:t>
        <w:tab/>
        <w:t>TDA2003</w:t>
        <w:tab/>
      </w:r>
    </w:p>
    <w:p>
      <w:pPr>
        <w:pStyle w:val="Normal"/>
        <w:tabs>
          <w:tab w:val="clear" w:pos="720"/>
          <w:tab w:val="left" w:pos="851" w:leader="none"/>
          <w:tab w:val="left" w:pos="5387" w:leader="none"/>
          <w:tab w:val="left" w:pos="6804" w:leader="none"/>
        </w:tabs>
        <w:rPr/>
      </w:pPr>
      <w:r>
        <w:rPr/>
        <w:t xml:space="preserve">DD2 </w:t>
        <w:tab/>
        <w:t xml:space="preserve">stabilizátor napětí </w:t>
        <w:tab/>
        <w:t>78L08</w:t>
        <w:tab/>
      </w:r>
    </w:p>
    <w:p>
      <w:pPr>
        <w:pStyle w:val="Normal"/>
        <w:tabs>
          <w:tab w:val="clear" w:pos="720"/>
          <w:tab w:val="left" w:pos="851" w:leader="none"/>
          <w:tab w:val="left" w:pos="5387" w:leader="none"/>
          <w:tab w:val="left" w:pos="6804" w:leader="none"/>
        </w:tabs>
        <w:rPr/>
      </w:pPr>
      <w:r>
        <w:rPr/>
        <w:t xml:space="preserve">VT1 </w:t>
        <w:tab/>
        <w:t xml:space="preserve">tranzistor N-MOSFET </w:t>
        <w:tab/>
        <w:t>BF910 (GES)</w:t>
      </w:r>
    </w:p>
    <w:p>
      <w:pPr>
        <w:pStyle w:val="Normal"/>
        <w:tabs>
          <w:tab w:val="clear" w:pos="720"/>
          <w:tab w:val="left" w:pos="851" w:leader="none"/>
          <w:tab w:val="left" w:pos="5387" w:leader="none"/>
          <w:tab w:val="left" w:pos="6804" w:leader="none"/>
        </w:tabs>
        <w:rPr/>
      </w:pPr>
      <w:r>
        <w:rPr/>
        <w:t xml:space="preserve">VT2 </w:t>
        <w:tab/>
        <w:t xml:space="preserve">tranzistor N-FET </w:t>
        <w:tab/>
        <w:t xml:space="preserve">BF245C </w:t>
        <w:tab/>
      </w:r>
    </w:p>
    <w:p>
      <w:pPr>
        <w:pStyle w:val="Normal"/>
        <w:tabs>
          <w:tab w:val="clear" w:pos="720"/>
          <w:tab w:val="left" w:pos="851" w:leader="none"/>
          <w:tab w:val="left" w:pos="5387" w:leader="none"/>
          <w:tab w:val="left" w:pos="6804" w:leader="none"/>
        </w:tabs>
        <w:rPr/>
      </w:pPr>
      <w:r>
        <w:rPr/>
        <w:t xml:space="preserve">VT3 </w:t>
        <w:tab/>
        <w:t xml:space="preserve">tranzistor </w:t>
        <w:tab/>
        <w:t xml:space="preserve">BC547C </w:t>
        <w:tab/>
      </w:r>
    </w:p>
    <w:p>
      <w:pPr>
        <w:pStyle w:val="Heading1"/>
        <w:tabs>
          <w:tab w:val="clear" w:pos="2835"/>
          <w:tab w:val="left" w:pos="851" w:leader="none"/>
          <w:tab w:val="left" w:pos="5387" w:leader="none"/>
          <w:tab w:val="left" w:pos="6804" w:leader="none"/>
        </w:tabs>
        <w:spacing w:before="0" w:after="0"/>
        <w:rPr>
          <w:sz w:val="20"/>
        </w:rPr>
      </w:pPr>
      <w:r>
        <w:rPr>
          <w:sz w:val="20"/>
        </w:rPr>
        <w:t xml:space="preserve">VD1 </w:t>
        <w:tab/>
        <w:t xml:space="preserve">varikap </w:t>
        <w:tab/>
        <w:t>BB405B (GES)</w:t>
      </w:r>
    </w:p>
    <w:p>
      <w:pPr>
        <w:pStyle w:val="Normal"/>
        <w:tabs>
          <w:tab w:val="clear" w:pos="720"/>
          <w:tab w:val="left" w:pos="851" w:leader="none"/>
          <w:tab w:val="left" w:pos="5387" w:leader="none"/>
          <w:tab w:val="left" w:pos="6804" w:leader="none"/>
        </w:tabs>
        <w:rPr/>
      </w:pPr>
      <w:r>
        <w:rPr/>
        <w:t xml:space="preserve">VD2 </w:t>
        <w:tab/>
        <w:t xml:space="preserve">varikap </w:t>
        <w:tab/>
        <w:t>BB405B (GES)</w:t>
      </w:r>
    </w:p>
    <w:p>
      <w:pPr>
        <w:pStyle w:val="Normal"/>
        <w:tabs>
          <w:tab w:val="clear" w:pos="720"/>
          <w:tab w:val="left" w:pos="851" w:leader="none"/>
          <w:tab w:val="left" w:pos="5387" w:leader="none"/>
          <w:tab w:val="left" w:pos="6804" w:leader="none"/>
        </w:tabs>
        <w:rPr/>
      </w:pPr>
      <w:r>
        <w:rPr/>
        <w:t xml:space="preserve">VD3 </w:t>
        <w:tab/>
        <w:t xml:space="preserve">dioda </w:t>
        <w:tab/>
        <w:t xml:space="preserve">1N4148 </w:t>
        <w:tab/>
      </w:r>
    </w:p>
    <w:p>
      <w:pPr>
        <w:pStyle w:val="Normal"/>
        <w:tabs>
          <w:tab w:val="clear" w:pos="720"/>
          <w:tab w:val="left" w:pos="851" w:leader="none"/>
          <w:tab w:val="left" w:pos="5387" w:leader="none"/>
          <w:tab w:val="left" w:pos="6804" w:leader="none"/>
        </w:tabs>
        <w:rPr/>
      </w:pPr>
      <w:r>
        <w:rPr/>
        <w:t xml:space="preserve">VD4 </w:t>
        <w:tab/>
        <w:t xml:space="preserve">dioda </w:t>
        <w:tab/>
        <w:t xml:space="preserve">1N4007 </w:t>
        <w:tab/>
      </w:r>
    </w:p>
    <w:p>
      <w:pPr>
        <w:pStyle w:val="Normal"/>
        <w:tabs>
          <w:tab w:val="clear" w:pos="720"/>
          <w:tab w:val="left" w:pos="851" w:leader="none"/>
          <w:tab w:val="left" w:pos="5387" w:leader="none"/>
          <w:tab w:val="left" w:pos="6804" w:leader="none"/>
        </w:tabs>
        <w:rPr/>
      </w:pPr>
      <w:r>
        <w:rPr/>
        <w:t xml:space="preserve">C1 </w:t>
        <w:tab/>
        <w:t xml:space="preserve">keramický kondenzátor </w:t>
        <w:tab/>
        <w:t xml:space="preserve">2,2 pF </w:t>
        <w:tab/>
        <w:t xml:space="preserve"> /*</w:t>
      </w:r>
    </w:p>
    <w:p>
      <w:pPr>
        <w:pStyle w:val="Normal"/>
        <w:tabs>
          <w:tab w:val="clear" w:pos="720"/>
          <w:tab w:val="left" w:pos="851" w:leader="none"/>
          <w:tab w:val="left" w:pos="5387" w:leader="none"/>
          <w:tab w:val="left" w:pos="6804" w:leader="none"/>
        </w:tabs>
        <w:rPr/>
      </w:pPr>
      <w:r>
        <w:rPr/>
        <w:t xml:space="preserve">C2 </w:t>
        <w:tab/>
        <w:t xml:space="preserve">keramický kondenzátor </w:t>
        <w:tab/>
        <w:t xml:space="preserve">1 nF </w:t>
        <w:tab/>
        <w:t xml:space="preserve"> /*</w:t>
      </w:r>
    </w:p>
    <w:p>
      <w:pPr>
        <w:pStyle w:val="Normal"/>
        <w:tabs>
          <w:tab w:val="clear" w:pos="720"/>
          <w:tab w:val="left" w:pos="851" w:leader="none"/>
          <w:tab w:val="left" w:pos="5387" w:leader="none"/>
          <w:tab w:val="left" w:pos="6804" w:leader="none"/>
        </w:tabs>
        <w:rPr/>
      </w:pPr>
      <w:r>
        <w:rPr/>
        <w:t xml:space="preserve">C3 </w:t>
        <w:tab/>
        <w:t xml:space="preserve">keramický kondenzátor </w:t>
        <w:tab/>
        <w:t xml:space="preserve">10 nF </w:t>
      </w:r>
    </w:p>
    <w:p>
      <w:pPr>
        <w:pStyle w:val="Normal"/>
        <w:tabs>
          <w:tab w:val="clear" w:pos="720"/>
          <w:tab w:val="left" w:pos="851" w:leader="none"/>
          <w:tab w:val="left" w:pos="5387" w:leader="none"/>
          <w:tab w:val="left" w:pos="6804" w:leader="none"/>
        </w:tabs>
        <w:rPr/>
      </w:pPr>
      <w:r>
        <w:rPr/>
        <w:t xml:space="preserve">C4 </w:t>
        <w:tab/>
        <w:t xml:space="preserve">keramický kondenzátor </w:t>
        <w:tab/>
        <w:t xml:space="preserve">100 nF </w:t>
      </w:r>
    </w:p>
    <w:p>
      <w:pPr>
        <w:pStyle w:val="Normal"/>
        <w:tabs>
          <w:tab w:val="clear" w:pos="720"/>
          <w:tab w:val="left" w:pos="851" w:leader="none"/>
          <w:tab w:val="left" w:pos="5387" w:leader="none"/>
          <w:tab w:val="left" w:pos="6804" w:leader="none"/>
        </w:tabs>
        <w:rPr/>
      </w:pPr>
      <w:r>
        <w:rPr/>
        <w:t xml:space="preserve">C5 </w:t>
        <w:tab/>
        <w:t xml:space="preserve">keramický kondenzátor </w:t>
        <w:tab/>
        <w:t xml:space="preserve">1 nF </w:t>
      </w:r>
    </w:p>
    <w:p>
      <w:pPr>
        <w:pStyle w:val="Normal"/>
        <w:tabs>
          <w:tab w:val="clear" w:pos="720"/>
          <w:tab w:val="left" w:pos="851" w:leader="none"/>
          <w:tab w:val="left" w:pos="5387" w:leader="none"/>
          <w:tab w:val="left" w:pos="6804" w:leader="none"/>
        </w:tabs>
        <w:rPr/>
      </w:pPr>
      <w:r>
        <w:rPr/>
        <w:t xml:space="preserve">C6 </w:t>
        <w:tab/>
        <w:t xml:space="preserve">keramický kondenzátor </w:t>
        <w:tab/>
        <w:t xml:space="preserve">100 nF </w:t>
      </w:r>
    </w:p>
    <w:p>
      <w:pPr>
        <w:pStyle w:val="Normal"/>
        <w:tabs>
          <w:tab w:val="clear" w:pos="720"/>
          <w:tab w:val="left" w:pos="851" w:leader="none"/>
          <w:tab w:val="left" w:pos="5387" w:leader="none"/>
          <w:tab w:val="left" w:pos="6804" w:leader="none"/>
        </w:tabs>
        <w:rPr/>
      </w:pPr>
      <w:r>
        <w:rPr/>
        <w:t xml:space="preserve">C7 </w:t>
        <w:tab/>
        <w:t xml:space="preserve">keramický kondenzátor </w:t>
        <w:tab/>
        <w:t xml:space="preserve">10 nF </w:t>
      </w:r>
    </w:p>
    <w:p>
      <w:pPr>
        <w:pStyle w:val="Normal"/>
        <w:tabs>
          <w:tab w:val="clear" w:pos="720"/>
          <w:tab w:val="left" w:pos="851" w:leader="none"/>
          <w:tab w:val="left" w:pos="5387" w:leader="none"/>
          <w:tab w:val="left" w:pos="6804" w:leader="none"/>
        </w:tabs>
        <w:rPr/>
      </w:pPr>
      <w:r>
        <w:rPr/>
        <w:t xml:space="preserve">C8 </w:t>
        <w:tab/>
        <w:t xml:space="preserve">keramický kondenzátor </w:t>
        <w:tab/>
        <w:t xml:space="preserve">100 nF </w:t>
      </w:r>
    </w:p>
    <w:p>
      <w:pPr>
        <w:pStyle w:val="Normal"/>
        <w:tabs>
          <w:tab w:val="clear" w:pos="720"/>
          <w:tab w:val="left" w:pos="851" w:leader="none"/>
          <w:tab w:val="left" w:pos="5387" w:leader="none"/>
          <w:tab w:val="left" w:pos="6804" w:leader="none"/>
        </w:tabs>
        <w:rPr/>
      </w:pPr>
      <w:r>
        <w:rPr/>
        <w:t xml:space="preserve">C9 </w:t>
        <w:tab/>
        <w:t xml:space="preserve">keramický kondenzátor </w:t>
        <w:tab/>
        <w:t xml:space="preserve">100 nF </w:t>
      </w:r>
    </w:p>
    <w:p>
      <w:pPr>
        <w:pStyle w:val="Normal"/>
        <w:tabs>
          <w:tab w:val="clear" w:pos="720"/>
          <w:tab w:val="left" w:pos="851" w:leader="none"/>
          <w:tab w:val="left" w:pos="5387" w:leader="none"/>
          <w:tab w:val="left" w:pos="6804" w:leader="none"/>
        </w:tabs>
        <w:rPr/>
      </w:pPr>
      <w:r>
        <w:rPr/>
        <w:t xml:space="preserve">C10 </w:t>
        <w:tab/>
        <w:t xml:space="preserve">keramický kondenzátor </w:t>
        <w:tab/>
        <w:t xml:space="preserve">100 pF </w:t>
        <w:tab/>
        <w:t xml:space="preserve"> /*</w:t>
      </w:r>
    </w:p>
    <w:p>
      <w:pPr>
        <w:pStyle w:val="Normal"/>
        <w:tabs>
          <w:tab w:val="clear" w:pos="720"/>
          <w:tab w:val="left" w:pos="851" w:leader="none"/>
          <w:tab w:val="left" w:pos="5387" w:leader="none"/>
          <w:tab w:val="left" w:pos="6804" w:leader="none"/>
        </w:tabs>
        <w:rPr/>
      </w:pPr>
      <w:r>
        <w:rPr/>
        <w:t xml:space="preserve">C11 </w:t>
        <w:tab/>
        <w:t xml:space="preserve">keramický kondenzátor </w:t>
        <w:tab/>
        <w:t xml:space="preserve">33 pF </w:t>
        <w:tab/>
        <w:t xml:space="preserve"> /*</w:t>
      </w:r>
    </w:p>
    <w:p>
      <w:pPr>
        <w:pStyle w:val="Normal"/>
        <w:tabs>
          <w:tab w:val="clear" w:pos="720"/>
          <w:tab w:val="left" w:pos="851" w:leader="none"/>
          <w:tab w:val="left" w:pos="5387" w:leader="none"/>
          <w:tab w:val="left" w:pos="6804" w:leader="none"/>
        </w:tabs>
        <w:rPr/>
      </w:pPr>
      <w:r>
        <w:rPr/>
        <w:t xml:space="preserve">C12 </w:t>
        <w:tab/>
        <w:t xml:space="preserve">keramický kondenzátor </w:t>
        <w:tab/>
        <w:t xml:space="preserve">680 pF </w:t>
        <w:tab/>
        <w:t xml:space="preserve"> /*</w:t>
      </w:r>
    </w:p>
    <w:p>
      <w:pPr>
        <w:pStyle w:val="Normal"/>
        <w:tabs>
          <w:tab w:val="clear" w:pos="720"/>
          <w:tab w:val="left" w:pos="851" w:leader="none"/>
          <w:tab w:val="left" w:pos="5387" w:leader="none"/>
          <w:tab w:val="left" w:pos="6804" w:leader="none"/>
        </w:tabs>
        <w:rPr/>
      </w:pPr>
      <w:r>
        <w:rPr/>
        <w:t xml:space="preserve">C13 </w:t>
        <w:tab/>
        <w:t xml:space="preserve">keramický kondenzátor </w:t>
        <w:tab/>
        <w:t xml:space="preserve">10 pF </w:t>
        <w:tab/>
        <w:t xml:space="preserve"> /*</w:t>
      </w:r>
    </w:p>
    <w:p>
      <w:pPr>
        <w:pStyle w:val="Normal"/>
        <w:tabs>
          <w:tab w:val="clear" w:pos="720"/>
          <w:tab w:val="left" w:pos="851" w:leader="none"/>
          <w:tab w:val="left" w:pos="5387" w:leader="none"/>
          <w:tab w:val="left" w:pos="6804" w:leader="none"/>
        </w:tabs>
        <w:rPr/>
      </w:pPr>
      <w:r>
        <w:rPr/>
        <w:t xml:space="preserve">C14 </w:t>
        <w:tab/>
        <w:t xml:space="preserve">keramický kondenzátor </w:t>
        <w:tab/>
        <w:t xml:space="preserve">1 nF </w:t>
      </w:r>
    </w:p>
    <w:p>
      <w:pPr>
        <w:pStyle w:val="Normal"/>
        <w:tabs>
          <w:tab w:val="clear" w:pos="720"/>
          <w:tab w:val="left" w:pos="851" w:leader="none"/>
          <w:tab w:val="left" w:pos="5387" w:leader="none"/>
          <w:tab w:val="left" w:pos="6804" w:leader="none"/>
        </w:tabs>
        <w:rPr/>
      </w:pPr>
      <w:r>
        <w:rPr/>
        <w:t xml:space="preserve">C15 </w:t>
        <w:tab/>
        <w:t xml:space="preserve">keramický kondenzátor </w:t>
        <w:tab/>
        <w:t xml:space="preserve">22 nF </w:t>
      </w:r>
    </w:p>
    <w:p>
      <w:pPr>
        <w:pStyle w:val="Normal"/>
        <w:tabs>
          <w:tab w:val="clear" w:pos="720"/>
          <w:tab w:val="left" w:pos="851" w:leader="none"/>
          <w:tab w:val="left" w:pos="5387" w:leader="none"/>
          <w:tab w:val="left" w:pos="6804" w:leader="none"/>
        </w:tabs>
        <w:rPr/>
      </w:pPr>
      <w:r>
        <w:rPr/>
        <w:t xml:space="preserve">C16 </w:t>
        <w:tab/>
        <w:t xml:space="preserve">keramický kondenzátor </w:t>
        <w:tab/>
        <w:t xml:space="preserve">100 nF </w:t>
      </w:r>
    </w:p>
    <w:p>
      <w:pPr>
        <w:pStyle w:val="Normal"/>
        <w:tabs>
          <w:tab w:val="clear" w:pos="720"/>
          <w:tab w:val="left" w:pos="851" w:leader="none"/>
          <w:tab w:val="left" w:pos="5387" w:leader="none"/>
          <w:tab w:val="left" w:pos="6804" w:leader="none"/>
        </w:tabs>
        <w:rPr/>
      </w:pPr>
      <w:r>
        <w:rPr/>
        <w:t xml:space="preserve">C17 </w:t>
        <w:tab/>
        <w:t xml:space="preserve">elektrolytický kondenzátor </w:t>
        <w:tab/>
        <w:t>10 </w:t>
      </w:r>
      <w:r>
        <w:rPr>
          <w:rFonts w:eastAsia="Symbol" w:cs="Symbol" w:ascii="Symbol" w:hAnsi="Symbol"/>
        </w:rPr>
        <w:sym w:font="Symbol" w:char="f06d"/>
      </w:r>
      <w:r>
        <w:rPr/>
        <w:t xml:space="preserve">F/25 V </w:t>
      </w:r>
    </w:p>
    <w:p>
      <w:pPr>
        <w:pStyle w:val="Normal"/>
        <w:tabs>
          <w:tab w:val="clear" w:pos="720"/>
          <w:tab w:val="left" w:pos="851" w:leader="none"/>
          <w:tab w:val="left" w:pos="5387" w:leader="none"/>
          <w:tab w:val="left" w:pos="6804" w:leader="none"/>
        </w:tabs>
        <w:rPr/>
      </w:pPr>
      <w:r>
        <w:rPr/>
        <w:t xml:space="preserve">C18 </w:t>
        <w:tab/>
        <w:t xml:space="preserve">elektrolytický kondenzátor </w:t>
        <w:tab/>
        <w:t xml:space="preserve">10 </w:t>
      </w:r>
      <w:r>
        <w:rPr>
          <w:rFonts w:eastAsia="Symbol" w:cs="Symbol" w:ascii="Symbol" w:hAnsi="Symbol"/>
        </w:rPr>
        <w:sym w:font="Symbol" w:char="f06d"/>
      </w:r>
      <w:r>
        <w:rPr/>
        <w:t xml:space="preserve">F/25 V </w:t>
      </w:r>
    </w:p>
    <w:p>
      <w:pPr>
        <w:pStyle w:val="Normal"/>
        <w:tabs>
          <w:tab w:val="clear" w:pos="720"/>
          <w:tab w:val="left" w:pos="851" w:leader="none"/>
          <w:tab w:val="left" w:pos="5387" w:leader="none"/>
          <w:tab w:val="left" w:pos="6804" w:leader="none"/>
        </w:tabs>
        <w:rPr/>
      </w:pPr>
      <w:r>
        <w:rPr/>
        <w:t xml:space="preserve">C19 </w:t>
        <w:tab/>
        <w:t xml:space="preserve">elektrolytický kondenzátor </w:t>
        <w:tab/>
        <w:t xml:space="preserve">470 </w:t>
      </w:r>
      <w:r>
        <w:rPr>
          <w:rFonts w:eastAsia="Symbol" w:cs="Symbol" w:ascii="Symbol" w:hAnsi="Symbol"/>
        </w:rPr>
        <w:sym w:font="Symbol" w:char="f06d"/>
      </w:r>
      <w:r>
        <w:rPr/>
        <w:t xml:space="preserve">F/25 V </w:t>
      </w:r>
    </w:p>
    <w:p>
      <w:pPr>
        <w:pStyle w:val="Normal"/>
        <w:tabs>
          <w:tab w:val="clear" w:pos="720"/>
          <w:tab w:val="left" w:pos="851" w:leader="none"/>
          <w:tab w:val="left" w:pos="5387" w:leader="none"/>
          <w:tab w:val="left" w:pos="6804" w:leader="none"/>
        </w:tabs>
        <w:rPr/>
      </w:pPr>
      <w:r>
        <w:rPr/>
        <w:t xml:space="preserve">C20 </w:t>
        <w:tab/>
        <w:t xml:space="preserve">elektrolytický kondenzátor </w:t>
        <w:tab/>
        <w:t>100 </w:t>
      </w:r>
      <w:r>
        <w:rPr>
          <w:rFonts w:eastAsia="Symbol" w:cs="Symbol" w:ascii="Symbol" w:hAnsi="Symbol"/>
        </w:rPr>
        <w:sym w:font="Symbol" w:char="f06d"/>
      </w:r>
      <w:r>
        <w:rPr/>
        <w:t xml:space="preserve">F/25 V </w:t>
      </w:r>
    </w:p>
    <w:p>
      <w:pPr>
        <w:pStyle w:val="Normal"/>
        <w:tabs>
          <w:tab w:val="clear" w:pos="720"/>
          <w:tab w:val="left" w:pos="851" w:leader="none"/>
          <w:tab w:val="left" w:pos="5387" w:leader="none"/>
          <w:tab w:val="left" w:pos="6804" w:leader="none"/>
        </w:tabs>
        <w:rPr/>
      </w:pPr>
      <w:r>
        <w:rPr/>
        <w:t xml:space="preserve">C21 </w:t>
        <w:tab/>
        <w:t xml:space="preserve">elektrolytický kondenzátor </w:t>
        <w:tab/>
        <w:t>1000 </w:t>
      </w:r>
      <w:r>
        <w:rPr>
          <w:rFonts w:eastAsia="Symbol" w:cs="Symbol" w:ascii="Symbol" w:hAnsi="Symbol"/>
        </w:rPr>
        <w:sym w:font="Symbol" w:char="f06d"/>
      </w:r>
      <w:r>
        <w:rPr/>
        <w:t xml:space="preserve">F/25 V </w:t>
      </w:r>
    </w:p>
    <w:p>
      <w:pPr>
        <w:pStyle w:val="Normal"/>
        <w:tabs>
          <w:tab w:val="clear" w:pos="720"/>
          <w:tab w:val="left" w:pos="851" w:leader="none"/>
          <w:tab w:val="left" w:pos="5387" w:leader="none"/>
          <w:tab w:val="left" w:pos="6804" w:leader="none"/>
        </w:tabs>
        <w:rPr/>
      </w:pPr>
      <w:r>
        <w:rPr/>
        <w:t xml:space="preserve">C22 </w:t>
        <w:tab/>
        <w:t xml:space="preserve">elektrolytický kondenzátor </w:t>
        <w:tab/>
        <w:t>1000 </w:t>
      </w:r>
      <w:r>
        <w:rPr>
          <w:rFonts w:eastAsia="Symbol" w:cs="Symbol" w:ascii="Symbol" w:hAnsi="Symbol"/>
        </w:rPr>
        <w:sym w:font="Symbol" w:char="f06d"/>
      </w:r>
      <w:r>
        <w:rPr/>
        <w:t xml:space="preserve">F/25 V </w:t>
      </w:r>
    </w:p>
    <w:p>
      <w:pPr>
        <w:pStyle w:val="Normal"/>
        <w:tabs>
          <w:tab w:val="clear" w:pos="720"/>
          <w:tab w:val="left" w:pos="851" w:leader="none"/>
          <w:tab w:val="left" w:pos="5387" w:leader="none"/>
          <w:tab w:val="left" w:pos="6804" w:leader="none"/>
        </w:tabs>
        <w:rPr/>
      </w:pPr>
      <w:r>
        <w:rPr/>
        <w:t xml:space="preserve">C23 </w:t>
        <w:tab/>
        <w:t xml:space="preserve">kap. trimr PHILIPS </w:t>
        <w:tab/>
        <w:t xml:space="preserve">2-45 pF (fialová) </w:t>
        <w:tab/>
      </w:r>
    </w:p>
    <w:p>
      <w:pPr>
        <w:pStyle w:val="Normal"/>
        <w:tabs>
          <w:tab w:val="clear" w:pos="720"/>
          <w:tab w:val="left" w:pos="851" w:leader="none"/>
          <w:tab w:val="left" w:pos="5387" w:leader="none"/>
          <w:tab w:val="left" w:pos="6804" w:leader="none"/>
        </w:tabs>
        <w:rPr/>
      </w:pPr>
      <w:r>
        <w:rPr/>
        <w:t xml:space="preserve">C24 </w:t>
        <w:tab/>
        <w:t xml:space="preserve">kap. trimr PHILIPS </w:t>
        <w:tab/>
        <w:t xml:space="preserve">2-45 pF (fialová) </w:t>
        <w:tab/>
      </w:r>
    </w:p>
    <w:p>
      <w:pPr>
        <w:pStyle w:val="Normal"/>
        <w:tabs>
          <w:tab w:val="clear" w:pos="720"/>
          <w:tab w:val="left" w:pos="851" w:leader="none"/>
          <w:tab w:val="left" w:pos="5387" w:leader="none"/>
          <w:tab w:val="left" w:pos="6804" w:leader="none"/>
        </w:tabs>
        <w:rPr/>
      </w:pPr>
      <w:r>
        <w:rPr/>
        <w:t xml:space="preserve">R1 </w:t>
        <w:tab/>
        <w:t xml:space="preserve">metalizovaný rezistor </w:t>
        <w:tab/>
        <w:t>100 k</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R2 </w:t>
        <w:tab/>
        <w:t xml:space="preserve">metalizovaný rezistor </w:t>
        <w:tab/>
        <w:t>11 k</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R3 </w:t>
        <w:tab/>
        <w:t xml:space="preserve">metalizovaný rezistor </w:t>
        <w:tab/>
        <w:t>100 </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R4 </w:t>
        <w:tab/>
        <w:t xml:space="preserve">metalizovaný rezistor </w:t>
        <w:tab/>
        <w:t>1,5 k</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R5 </w:t>
        <w:tab/>
        <w:t xml:space="preserve">metalizovaný rezistor </w:t>
        <w:tab/>
        <w:t>11 k</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R6 </w:t>
        <w:tab/>
        <w:t xml:space="preserve">metalizovaný rezistor </w:t>
        <w:tab/>
        <w:t>200 k</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R7 </w:t>
        <w:tab/>
        <w:t xml:space="preserve">metalizovaný rezistor </w:t>
        <w:tab/>
        <w:t>4,7 k</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R8 </w:t>
        <w:tab/>
        <w:t xml:space="preserve">metalizovaný rezistor </w:t>
        <w:tab/>
        <w:t>1 </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R9 </w:t>
        <w:tab/>
        <w:t xml:space="preserve">metalizovaný rezistor </w:t>
        <w:tab/>
        <w:t>11 k</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R10 </w:t>
        <w:tab/>
        <w:t xml:space="preserve">metalizovaný rezistor </w:t>
        <w:tab/>
        <w:t>100 k</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R11 </w:t>
        <w:tab/>
        <w:t xml:space="preserve">metalizovaný rezistor </w:t>
        <w:tab/>
        <w:t>220 </w:t>
      </w:r>
      <w:r>
        <w:rPr>
          <w:rFonts w:eastAsia="Symbol" w:cs="Symbol" w:ascii="Symbol" w:hAnsi="Symbol"/>
        </w:rPr>
        <w:sym w:font="Symbol" w:char="f057"/>
      </w:r>
    </w:p>
    <w:p>
      <w:pPr>
        <w:pStyle w:val="Normal"/>
        <w:tabs>
          <w:tab w:val="clear" w:pos="720"/>
          <w:tab w:val="left" w:pos="851" w:leader="none"/>
          <w:tab w:val="left" w:pos="5387" w:leader="none"/>
          <w:tab w:val="left" w:pos="6804" w:leader="none"/>
        </w:tabs>
        <w:rPr/>
      </w:pPr>
      <w:r>
        <w:rPr/>
        <w:t xml:space="preserve">R12 </w:t>
        <w:tab/>
        <w:t xml:space="preserve">metalizovaný rezistor </w:t>
        <w:tab/>
        <w:t>11 k</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R13 </w:t>
        <w:tab/>
        <w:t xml:space="preserve">metalizovaný rezistor </w:t>
        <w:tab/>
        <w:t>39 </w:t>
      </w:r>
      <w:r>
        <w:rPr>
          <w:rFonts w:eastAsia="Symbol" w:cs="Symbol" w:ascii="Symbol" w:hAnsi="Symbol"/>
        </w:rPr>
        <w:sym w:font="Symbol" w:char="f057"/>
      </w:r>
    </w:p>
    <w:p>
      <w:pPr>
        <w:pStyle w:val="Normal"/>
        <w:tabs>
          <w:tab w:val="clear" w:pos="720"/>
          <w:tab w:val="left" w:pos="851" w:leader="none"/>
          <w:tab w:val="left" w:pos="5387" w:leader="none"/>
          <w:tab w:val="left" w:pos="6804" w:leader="none"/>
        </w:tabs>
        <w:rPr/>
      </w:pPr>
      <w:r>
        <w:rPr/>
        <w:t xml:space="preserve">R14 </w:t>
        <w:tab/>
        <w:t xml:space="preserve">metalizovaný rezistor </w:t>
        <w:tab/>
        <w:t>2,2 k</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R15 </w:t>
        <w:tab/>
        <w:t xml:space="preserve">metalizovaný rezistor </w:t>
        <w:tab/>
        <w:t>2,2 </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R16 </w:t>
        <w:tab/>
        <w:t xml:space="preserve">metalizovaný rezistor </w:t>
        <w:tab/>
        <w:t>1 </w:t>
      </w:r>
      <w:r>
        <w:rPr>
          <w:rFonts w:eastAsia="Symbol" w:cs="Symbol" w:ascii="Symbol" w:hAnsi="Symbol"/>
        </w:rPr>
        <w:sym w:font="Symbol" w:char="f057"/>
      </w:r>
      <w:r>
        <w:rPr/>
        <w:t xml:space="preserve"> </w:t>
      </w:r>
    </w:p>
    <w:p>
      <w:pPr>
        <w:pStyle w:val="Normal"/>
        <w:tabs>
          <w:tab w:val="clear" w:pos="720"/>
          <w:tab w:val="left" w:pos="851" w:leader="none"/>
          <w:tab w:val="left" w:pos="5387" w:leader="none"/>
          <w:tab w:val="left" w:pos="6804" w:leader="none"/>
        </w:tabs>
        <w:rPr/>
      </w:pPr>
      <w:r>
        <w:rPr/>
        <w:t xml:space="preserve">L1 </w:t>
        <w:tab/>
        <w:t xml:space="preserve">tlumivka FASTRON axiální </w:t>
        <w:tab/>
        <w:t>33 </w:t>
      </w:r>
      <w:r>
        <w:rPr>
          <w:rFonts w:eastAsia="Symbol" w:cs="Symbol" w:ascii="Symbol" w:hAnsi="Symbol"/>
        </w:rPr>
        <w:sym w:font="Symbol" w:char="f06d"/>
      </w:r>
      <w:r>
        <w:rPr/>
        <w:t xml:space="preserve">H </w:t>
        <w:tab/>
        <w:t>/*</w:t>
      </w:r>
    </w:p>
    <w:p>
      <w:pPr>
        <w:pStyle w:val="Normal"/>
        <w:tabs>
          <w:tab w:val="clear" w:pos="720"/>
          <w:tab w:val="left" w:pos="851" w:leader="none"/>
          <w:tab w:val="left" w:pos="5387" w:leader="none"/>
          <w:tab w:val="left" w:pos="6804" w:leader="none"/>
        </w:tabs>
        <w:rPr/>
      </w:pPr>
      <w:r>
        <w:rPr/>
        <w:t xml:space="preserve">L2 </w:t>
        <w:tab/>
        <w:t xml:space="preserve">tlumivka FASTRON axiální </w:t>
        <w:tab/>
        <w:t>33 </w:t>
      </w:r>
      <w:r>
        <w:rPr>
          <w:rFonts w:eastAsia="Symbol" w:cs="Symbol" w:ascii="Symbol" w:hAnsi="Symbol"/>
        </w:rPr>
        <w:sym w:font="Symbol" w:char="f06d"/>
      </w:r>
      <w:r>
        <w:rPr/>
        <w:t xml:space="preserve">H </w:t>
        <w:tab/>
        <w:t>/*</w:t>
      </w:r>
    </w:p>
    <w:p>
      <w:pPr>
        <w:pStyle w:val="Normal"/>
        <w:tabs>
          <w:tab w:val="clear" w:pos="720"/>
          <w:tab w:val="left" w:pos="851" w:leader="none"/>
          <w:tab w:val="left" w:pos="5387" w:leader="none"/>
          <w:tab w:val="left" w:pos="6804" w:leader="none"/>
        </w:tabs>
        <w:rPr/>
      </w:pPr>
      <w:r>
        <w:rPr/>
        <w:t>P1,P2</w:t>
        <w:tab/>
        <w:t xml:space="preserve">Potenciometr logaritmický jednoduchý. </w:t>
        <w:tab/>
        <w:t>P4M-LOG 10K (GES)</w:t>
      </w:r>
    </w:p>
    <w:p>
      <w:pPr>
        <w:pStyle w:val="Normal"/>
        <w:tabs>
          <w:tab w:val="clear" w:pos="720"/>
          <w:tab w:val="left" w:pos="851" w:leader="none"/>
        </w:tabs>
        <w:rPr/>
      </w:pPr>
      <w:r>
        <w:rPr/>
        <w:tab/>
        <w:t>Délka hřídele je zkrácena na 15 mm.</w:t>
      </w:r>
    </w:p>
    <w:p>
      <w:pPr>
        <w:pStyle w:val="BodyTextIndent2"/>
        <w:ind w:hanging="851" w:left="851"/>
        <w:rPr/>
      </w:pPr>
      <w:r>
        <w:rPr/>
        <w:t xml:space="preserve">P3 </w:t>
        <w:tab/>
        <w:t xml:space="preserve">Potenciometr ARIPOT 10 otáček </w:t>
        <w:tab/>
        <w:t>10 k</w:t>
      </w:r>
      <w:r>
        <w:rPr>
          <w:rFonts w:eastAsia="Symbol" w:cs="Symbol" w:ascii="Symbol" w:hAnsi="Symbol"/>
        </w:rPr>
        <w:sym w:font="Symbol" w:char="f057"/>
      </w:r>
      <w:r>
        <w:rPr/>
        <w:t xml:space="preserve"> </w:t>
      </w:r>
    </w:p>
    <w:p>
      <w:pPr>
        <w:pStyle w:val="BodyTextIndent2"/>
        <w:tabs>
          <w:tab w:val="clear" w:pos="5387"/>
          <w:tab w:val="clear" w:pos="6804"/>
          <w:tab w:val="left" w:pos="851" w:leader="none"/>
        </w:tabs>
        <w:ind w:hanging="851" w:left="851"/>
        <w:rPr/>
      </w:pPr>
      <w:r>
        <w:rPr/>
        <w:t xml:space="preserve"> </w:t>
      </w:r>
    </w:p>
    <w:p>
      <w:pPr>
        <w:pStyle w:val="BodyTextIndent2"/>
        <w:tabs>
          <w:tab w:val="clear" w:pos="5387"/>
          <w:tab w:val="clear" w:pos="6804"/>
          <w:tab w:val="left" w:pos="851" w:leader="none"/>
        </w:tabs>
        <w:ind w:hanging="0" w:left="0"/>
        <w:jc w:val="both"/>
        <w:rPr/>
      </w:pPr>
      <w:r>
        <w:rPr/>
        <w:tab/>
        <w:t>Rozměrový návrh desky plošných spojů vyhovuje také desetiotáčkovému potenciometru z nabídky firem GES-ELECTRONICS a GM Electronic.</w:t>
      </w:r>
    </w:p>
    <w:p>
      <w:pPr>
        <w:pStyle w:val="Normal"/>
        <w:rPr/>
      </w:pPr>
      <w:r>
        <w:rPr/>
      </w:r>
    </w:p>
    <w:p>
      <w:pPr>
        <w:pStyle w:val="Normal"/>
        <w:rPr>
          <w:b/>
        </w:rPr>
      </w:pPr>
      <w:r>
        <w:rPr>
          <w:b/>
        </w:rPr>
        <w:t>Součástky mimo desku plošných spojů</w:t>
      </w:r>
    </w:p>
    <w:p>
      <w:pPr>
        <w:pStyle w:val="Normal"/>
        <w:rPr/>
      </w:pPr>
      <w:r>
        <w:rPr/>
      </w:r>
    </w:p>
    <w:p>
      <w:pPr>
        <w:pStyle w:val="Normal"/>
        <w:tabs>
          <w:tab w:val="clear" w:pos="720"/>
          <w:tab w:val="left" w:pos="851" w:leader="none"/>
          <w:tab w:val="left" w:pos="5387" w:leader="none"/>
          <w:tab w:val="left" w:pos="6804" w:leader="none"/>
        </w:tabs>
        <w:rPr/>
      </w:pPr>
      <w:r>
        <w:rPr/>
        <w:t>Univerzální plastová krabička (90 x 35 x 110 mm)</w:t>
        <w:tab/>
        <w:t>U-KM35 (GM)</w:t>
      </w:r>
    </w:p>
    <w:p>
      <w:pPr>
        <w:pStyle w:val="Normal"/>
        <w:tabs>
          <w:tab w:val="clear" w:pos="720"/>
          <w:tab w:val="left" w:pos="851" w:leader="none"/>
          <w:tab w:val="left" w:pos="5387" w:leader="none"/>
          <w:tab w:val="left" w:pos="6804" w:leader="none"/>
        </w:tabs>
        <w:rPr/>
      </w:pPr>
      <w:r>
        <w:rPr/>
        <w:t xml:space="preserve">Reproduktor miniaturní (0,2 W / 8 </w:t>
      </w:r>
      <w:r>
        <w:rPr>
          <w:rFonts w:eastAsia="Symbol" w:cs="Symbol" w:ascii="Symbol" w:hAnsi="Symbol"/>
        </w:rPr>
        <w:sym w:font="Symbol" w:char="f057"/>
      </w:r>
      <w:r>
        <w:rPr/>
        <w:t> průměr 50 mm)</w:t>
        <w:tab/>
        <w:t>BL50 (GES)</w:t>
      </w:r>
    </w:p>
    <w:p>
      <w:pPr>
        <w:pStyle w:val="Normal"/>
        <w:tabs>
          <w:tab w:val="clear" w:pos="720"/>
          <w:tab w:val="left" w:pos="851" w:leader="none"/>
          <w:tab w:val="left" w:pos="5387" w:leader="none"/>
          <w:tab w:val="left" w:pos="6804" w:leader="none"/>
        </w:tabs>
        <w:rPr/>
      </w:pPr>
      <w:r>
        <w:rPr/>
        <w:t>Napájecí konektor (zástrčka do panelu)</w:t>
        <w:tab/>
        <w:t>HEBL21 (GES)</w:t>
      </w:r>
    </w:p>
    <w:p>
      <w:pPr>
        <w:pStyle w:val="Normal"/>
        <w:tabs>
          <w:tab w:val="clear" w:pos="720"/>
          <w:tab w:val="left" w:pos="851" w:leader="none"/>
          <w:tab w:val="left" w:pos="5387" w:leader="none"/>
          <w:tab w:val="left" w:pos="6804" w:leader="none"/>
        </w:tabs>
        <w:rPr/>
      </w:pPr>
      <w:r>
        <w:rPr/>
        <w:t xml:space="preserve">Konektor JACK mono průměr 3,5 mm </w:t>
        <w:tab/>
        <w:t>EBV35 (GES)</w:t>
      </w:r>
    </w:p>
    <w:p>
      <w:pPr>
        <w:pStyle w:val="Normal"/>
        <w:rPr/>
      </w:pPr>
      <w:r>
        <w:rPr/>
        <w:t>Zdířky pro banánek k připojení drátové antény a uzemnění.</w:t>
      </w:r>
    </w:p>
    <w:p>
      <w:pPr>
        <w:pStyle w:val="Normal"/>
        <w:rPr/>
      </w:pPr>
      <w:r>
        <w:rPr/>
      </w:r>
    </w:p>
    <w:p>
      <w:pPr>
        <w:pStyle w:val="Normal"/>
        <w:rPr/>
      </w:pPr>
      <w:r>
        <w:rPr/>
        <w:t>/* Takto označené součástky mění svoji hodnotu na jiných pásmech podle následující tabulky:</w:t>
      </w:r>
    </w:p>
    <w:p>
      <w:pPr>
        <w:pStyle w:val="Normal"/>
        <w:rPr/>
      </w:pPr>
      <w:r>
        <w:rPr/>
      </w:r>
    </w:p>
    <w:tbl>
      <w:tblPr>
        <w:tblW w:w="8931" w:type="dxa"/>
        <w:jc w:val="center"/>
        <w:tblInd w:w="0" w:type="dxa"/>
        <w:tblLayout w:type="fixed"/>
        <w:tblCellMar>
          <w:top w:w="0" w:type="dxa"/>
          <w:left w:w="70" w:type="dxa"/>
          <w:bottom w:w="0" w:type="dxa"/>
          <w:right w:w="70" w:type="dxa"/>
        </w:tblCellMar>
        <w:tblLook w:val="0000"/>
      </w:tblPr>
      <w:tblGrid>
        <w:gridCol w:w="851"/>
        <w:gridCol w:w="567"/>
        <w:gridCol w:w="709"/>
        <w:gridCol w:w="707"/>
        <w:gridCol w:w="567"/>
        <w:gridCol w:w="709"/>
        <w:gridCol w:w="568"/>
        <w:gridCol w:w="851"/>
        <w:gridCol w:w="3401"/>
      </w:tblGrid>
      <w:tr>
        <w:trPr>
          <w:trHeight w:val="600" w:hRule="atLeast"/>
        </w:trPr>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Pásmo MHz</w:t>
            </w:r>
          </w:p>
        </w:tc>
        <w:tc>
          <w:tcPr>
            <w:tcW w:w="567"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C1 pF</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C2 pF</w:t>
            </w:r>
          </w:p>
        </w:tc>
        <w:tc>
          <w:tcPr>
            <w:tcW w:w="707"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C10 pF</w:t>
            </w:r>
          </w:p>
        </w:tc>
        <w:tc>
          <w:tcPr>
            <w:tcW w:w="567"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C11pF</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C12 pF</w:t>
            </w:r>
          </w:p>
        </w:tc>
        <w:tc>
          <w:tcPr>
            <w:tcW w:w="568"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C13pF</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 xml:space="preserve">L1,L2 </w:t>
            </w:r>
            <w:r>
              <w:rPr>
                <w:rFonts w:eastAsia="Symbol" w:cs="Symbol" w:ascii="Symbol" w:hAnsi="Symbol"/>
              </w:rPr>
              <w:sym w:font="Symbol" w:char="f06d"/>
            </w:r>
            <w:r>
              <w:rPr>
                <w:rFonts w:ascii="Courier New" w:hAnsi="Courier New"/>
              </w:rPr>
              <w:t>H</w:t>
            </w:r>
          </w:p>
        </w:tc>
        <w:tc>
          <w:tcPr>
            <w:tcW w:w="3401"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L1 vinutá na toroidu</w:t>
            </w:r>
          </w:p>
          <w:p>
            <w:pPr>
              <w:pStyle w:val="Normal"/>
              <w:jc w:val="center"/>
              <w:rPr>
                <w:rFonts w:ascii="Courier New" w:hAnsi="Courier New"/>
              </w:rPr>
            </w:pPr>
            <w:r>
              <w:rPr>
                <w:rFonts w:ascii="Courier New" w:hAnsi="Courier New"/>
              </w:rPr>
              <w:t>hmota, závity, drát Cul</w:t>
            </w:r>
          </w:p>
        </w:tc>
      </w:tr>
      <w:tr>
        <w:trPr>
          <w:trHeight w:val="303" w:hRule="atLeast"/>
        </w:trPr>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3,5</w:t>
            </w:r>
          </w:p>
        </w:tc>
        <w:tc>
          <w:tcPr>
            <w:tcW w:w="567"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2,2</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1000</w:t>
            </w:r>
          </w:p>
        </w:tc>
        <w:tc>
          <w:tcPr>
            <w:tcW w:w="707"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100</w:t>
            </w:r>
          </w:p>
        </w:tc>
        <w:tc>
          <w:tcPr>
            <w:tcW w:w="567"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33</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680</w:t>
            </w:r>
          </w:p>
        </w:tc>
        <w:tc>
          <w:tcPr>
            <w:tcW w:w="568"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10</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33</w:t>
            </w:r>
          </w:p>
        </w:tc>
        <w:tc>
          <w:tcPr>
            <w:tcW w:w="3401"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 xml:space="preserve">N1 </w:t>
            </w:r>
            <w:r>
              <w:rPr>
                <w:rFonts w:eastAsia="Symbol" w:cs="Symbol" w:ascii="Symbol" w:hAnsi="Symbol"/>
              </w:rPr>
              <w:sym w:font="Symbol" w:char="f0c6"/>
              <w:sym w:font="Symbol" w:char="20"/>
            </w:r>
            <w:r>
              <w:rPr>
                <w:rFonts w:ascii="Courier New" w:hAnsi="Courier New"/>
              </w:rPr>
              <w:t xml:space="preserve">10 mm 31 z. </w:t>
            </w:r>
            <w:r>
              <w:rPr>
                <w:rFonts w:eastAsia="Symbol" w:cs="Symbol" w:ascii="Symbol" w:hAnsi="Symbol"/>
              </w:rPr>
              <w:sym w:font="Symbol" w:char="f0c6"/>
              <w:sym w:font="Symbol" w:char="20"/>
            </w:r>
            <w:r>
              <w:rPr>
                <w:rFonts w:ascii="Courier New" w:hAnsi="Courier New"/>
              </w:rPr>
              <w:t>0,25 mm</w:t>
            </w:r>
          </w:p>
        </w:tc>
      </w:tr>
      <w:tr>
        <w:trPr>
          <w:trHeight w:val="381" w:hRule="atLeast"/>
        </w:trPr>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14</w:t>
            </w:r>
          </w:p>
        </w:tc>
        <w:tc>
          <w:tcPr>
            <w:tcW w:w="567"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1</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10</w:t>
            </w:r>
          </w:p>
        </w:tc>
        <w:tc>
          <w:tcPr>
            <w:tcW w:w="707"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10</w:t>
            </w:r>
          </w:p>
        </w:tc>
        <w:tc>
          <w:tcPr>
            <w:tcW w:w="567"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10</w:t>
            </w:r>
          </w:p>
        </w:tc>
        <w:tc>
          <w:tcPr>
            <w:tcW w:w="709"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100</w:t>
            </w:r>
          </w:p>
        </w:tc>
        <w:tc>
          <w:tcPr>
            <w:tcW w:w="568"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2,2</w:t>
            </w:r>
          </w:p>
        </w:tc>
        <w:tc>
          <w:tcPr>
            <w:tcW w:w="851"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4,7</w:t>
            </w:r>
          </w:p>
        </w:tc>
        <w:tc>
          <w:tcPr>
            <w:tcW w:w="3401" w:type="dxa"/>
            <w:tcBorders>
              <w:top w:val="single" w:sz="4" w:space="0" w:color="000000"/>
              <w:left w:val="single" w:sz="4" w:space="0" w:color="000000"/>
              <w:bottom w:val="single" w:sz="4" w:space="0" w:color="000000"/>
              <w:right w:val="single" w:sz="4" w:space="0" w:color="000000"/>
            </w:tcBorders>
          </w:tcPr>
          <w:p>
            <w:pPr>
              <w:pStyle w:val="Normal"/>
              <w:jc w:val="center"/>
              <w:rPr>
                <w:rFonts w:ascii="Courier New" w:hAnsi="Courier New"/>
              </w:rPr>
            </w:pPr>
            <w:r>
              <w:rPr>
                <w:rFonts w:ascii="Courier New" w:hAnsi="Courier New"/>
              </w:rPr>
              <w:t>N05 </w:t>
            </w:r>
            <w:r>
              <w:rPr>
                <w:rFonts w:eastAsia="Symbol" w:cs="Symbol" w:ascii="Symbol" w:hAnsi="Symbol"/>
              </w:rPr>
              <w:sym w:font="Symbol" w:char="f0c6"/>
              <w:sym w:font="Symbol" w:char="20"/>
            </w:r>
            <w:r>
              <w:rPr>
                <w:rFonts w:ascii="Courier New" w:hAnsi="Courier New"/>
              </w:rPr>
              <w:t xml:space="preserve">10 mm 13 z. </w:t>
            </w:r>
            <w:r>
              <w:rPr>
                <w:rFonts w:eastAsia="Symbol" w:cs="Symbol" w:ascii="Symbol" w:hAnsi="Symbol"/>
              </w:rPr>
              <w:sym w:font="Symbol" w:char="f0c6"/>
              <w:sym w:font="Symbol" w:char="20"/>
            </w:r>
            <w:r>
              <w:rPr>
                <w:rFonts w:ascii="Courier New" w:hAnsi="Courier New"/>
              </w:rPr>
              <w:t>0,25 mm</w:t>
            </w:r>
          </w:p>
        </w:tc>
      </w:tr>
    </w:tbl>
    <w:p>
      <w:pPr>
        <w:pStyle w:val="Normal"/>
        <w:rPr>
          <w:rFonts w:ascii="Courier New" w:hAnsi="Courier New"/>
        </w:rPr>
      </w:pPr>
      <w:r>
        <w:rPr>
          <w:rFonts w:ascii="Courier New" w:hAnsi="Courier New"/>
        </w:rPr>
      </w:r>
    </w:p>
    <w:p>
      <w:pPr>
        <w:pStyle w:val="Normal"/>
        <w:rPr>
          <w:b/>
          <w:u w:val="single"/>
        </w:rPr>
      </w:pPr>
      <w:r>
        <w:rPr>
          <w:b/>
          <w:u w:val="single"/>
        </w:rPr>
      </w:r>
    </w:p>
    <w:p>
      <w:pPr>
        <w:pStyle w:val="Normal"/>
        <w:rPr>
          <w:b/>
          <w:u w:val="single"/>
        </w:rPr>
      </w:pPr>
      <w:r>
        <w:rPr>
          <w:b/>
          <w:u w:val="single"/>
        </w:rPr>
        <w:t>Prodejci součástek</w:t>
      </w:r>
    </w:p>
    <w:p>
      <w:pPr>
        <w:pStyle w:val="Normal"/>
        <w:rPr/>
      </w:pPr>
      <w:r>
        <w:rPr/>
      </w:r>
    </w:p>
    <w:p>
      <w:pPr>
        <w:pStyle w:val="Normal"/>
        <w:tabs>
          <w:tab w:val="clear" w:pos="720"/>
          <w:tab w:val="left" w:pos="2835" w:leader="none"/>
          <w:tab w:val="left" w:pos="5670" w:leader="none"/>
        </w:tabs>
        <w:rPr/>
      </w:pPr>
      <w:hyperlink r:id="rId4">
        <w:r>
          <w:rPr>
            <w:rStyle w:val="Hyperlink"/>
          </w:rPr>
          <w:t>http://www.gme.cz</w:t>
        </w:r>
      </w:hyperlink>
    </w:p>
    <w:p>
      <w:pPr>
        <w:pStyle w:val="Normal"/>
        <w:tabs>
          <w:tab w:val="clear" w:pos="720"/>
          <w:tab w:val="left" w:pos="2835" w:leader="none"/>
          <w:tab w:val="left" w:pos="5670" w:leader="none"/>
        </w:tabs>
        <w:rPr/>
      </w:pPr>
      <w:hyperlink r:id="rId5">
        <w:r>
          <w:rPr>
            <w:rStyle w:val="Hyperlink"/>
          </w:rPr>
          <w:t>http://www.ges.cz</w:t>
        </w:r>
      </w:hyperlink>
    </w:p>
    <w:p>
      <w:pPr>
        <w:pStyle w:val="Normal"/>
        <w:tabs>
          <w:tab w:val="clear" w:pos="720"/>
          <w:tab w:val="left" w:pos="2835" w:leader="none"/>
          <w:tab w:val="left" w:pos="5670" w:leader="none"/>
        </w:tabs>
        <w:rPr/>
      </w:pPr>
      <w:r>
        <w:rPr/>
      </w:r>
    </w:p>
    <w:p>
      <w:pPr>
        <w:pStyle w:val="Normal"/>
        <w:rPr>
          <w:b/>
          <w:u w:val="single"/>
        </w:rPr>
      </w:pPr>
      <w:r>
        <w:rPr>
          <w:b/>
          <w:u w:val="single"/>
        </w:rPr>
        <w:t>Závěr</w:t>
      </w:r>
    </w:p>
    <w:p>
      <w:pPr>
        <w:pStyle w:val="Normal"/>
        <w:rPr>
          <w:b/>
          <w:u w:val="single"/>
        </w:rPr>
      </w:pPr>
      <w:r>
        <w:rPr>
          <w:b/>
          <w:u w:val="single"/>
        </w:rPr>
      </w:r>
    </w:p>
    <w:p>
      <w:pPr>
        <w:pStyle w:val="Normal"/>
        <w:ind w:firstLine="720"/>
        <w:jc w:val="both"/>
        <w:rPr/>
      </w:pPr>
      <w:r>
        <w:rPr/>
        <w:t xml:space="preserve">Pořizovací cena všech součástek, krabičky a konektorů je asi 350 Kč. Jako vyhovující zdroj lze použít například síťový adaptér 12 V 500 mA zakončený napájecím konektorem </w:t>
      </w:r>
      <w:r>
        <w:rPr>
          <w:rFonts w:eastAsia="Symbol" w:cs="Symbol" w:ascii="Symbol" w:hAnsi="Symbol"/>
        </w:rPr>
        <w:sym w:font="Symbol" w:char="f0c6"/>
      </w:r>
      <w:r>
        <w:rPr/>
        <w:t xml:space="preserve"> 2,1 x 5,5 mm (NZ12/6/500 firmy ENCO Opočno, přibližná cena 180 Kč).</w:t>
      </w:r>
    </w:p>
    <w:p>
      <w:pPr>
        <w:pStyle w:val="BodyTextIndent"/>
        <w:rPr/>
      </w:pPr>
      <w:r>
        <w:rPr/>
        <w:t xml:space="preserve">Návrh konstrukce vychází ze snahy poskytnout úplný návod na stavbu maximálně jednoduchého a levného přijímače na KV z dostupných součástek. Přijímač si s dobrým výsledkem postavilo několik dětí v radioklubu OK1OHK. Použitá anténa LW délky 40 m. </w:t>
      </w:r>
    </w:p>
    <w:p>
      <w:pPr>
        <w:pStyle w:val="Normal"/>
        <w:rPr/>
      </w:pPr>
      <w:r>
        <w:rPr/>
      </w:r>
    </w:p>
    <w:p>
      <w:pPr>
        <w:pStyle w:val="Normal"/>
        <w:rPr>
          <w:b/>
          <w:u w:val="single"/>
        </w:rPr>
      </w:pPr>
      <w:r>
        <w:rPr>
          <w:b/>
          <w:u w:val="single"/>
        </w:rPr>
        <w:t>Literatura</w:t>
      </w:r>
    </w:p>
    <w:p>
      <w:pPr>
        <w:pStyle w:val="Normal"/>
        <w:rPr>
          <w:b/>
          <w:u w:val="single"/>
        </w:rPr>
      </w:pPr>
      <w:r>
        <w:rPr>
          <w:b/>
          <w:u w:val="single"/>
        </w:rPr>
      </w:r>
    </w:p>
    <w:p>
      <w:pPr>
        <w:pStyle w:val="Normal"/>
        <w:tabs>
          <w:tab w:val="clear" w:pos="720"/>
          <w:tab w:val="left" w:pos="567" w:leader="none"/>
        </w:tabs>
        <w:rPr/>
      </w:pPr>
      <w:r>
        <w:rPr/>
        <w:t>[1]</w:t>
        <w:tab/>
        <w:t>Josef Daneš a kolektiv, Amatérská radiotechnika a elektronika 3. díl, Naše vojsko 1988</w:t>
      </w:r>
    </w:p>
    <w:p>
      <w:pPr>
        <w:pStyle w:val="Normal"/>
        <w:tabs>
          <w:tab w:val="clear" w:pos="720"/>
          <w:tab w:val="left" w:pos="567" w:leader="none"/>
        </w:tabs>
        <w:rPr/>
      </w:pPr>
      <w:r>
        <w:rPr/>
        <w:t>[2]</w:t>
        <w:tab/>
        <w:t>Přednášky z amatérské radiotechniky 2., ÚV Svazarmu 1980</w:t>
      </w:r>
    </w:p>
    <w:p>
      <w:pPr>
        <w:pStyle w:val="Normal"/>
        <w:tabs>
          <w:tab w:val="clear" w:pos="720"/>
          <w:tab w:val="left" w:pos="567" w:leader="none"/>
        </w:tabs>
        <w:rPr/>
      </w:pPr>
      <w:r>
        <w:rPr/>
        <w:t>[3]</w:t>
        <w:tab/>
        <w:t>Technická data TDA2003, STMicroelectronics (</w:t>
      </w:r>
      <w:hyperlink r:id="rId6">
        <w:r>
          <w:rPr>
            <w:rStyle w:val="Hyperlink"/>
          </w:rPr>
          <w:t>http://www.st.com</w:t>
        </w:r>
      </w:hyperlink>
      <w:r>
        <w:rPr/>
        <w:t>)</w:t>
      </w:r>
    </w:p>
    <w:p>
      <w:pPr>
        <w:pStyle w:val="Normal"/>
        <w:jc w:val="center"/>
        <w:rPr>
          <w:b/>
        </w:rPr>
      </w:pPr>
      <w:r>
        <w:rPr>
          <w:b/>
        </w:rPr>
      </w:r>
    </w:p>
    <w:p>
      <w:pPr>
        <w:pStyle w:val="Normal"/>
        <w:jc w:val="center"/>
        <w:rPr>
          <w:b/>
        </w:rPr>
      </w:pPr>
      <w:r>
        <w:rPr>
          <w:b/>
        </w:rPr>
      </w:r>
    </w:p>
    <w:p>
      <w:pPr>
        <w:pStyle w:val="Normal"/>
        <w:jc w:val="center"/>
        <w:rPr/>
      </w:pPr>
      <w:r>
        <w:rPr/>
        <w:drawing>
          <wp:anchor behindDoc="0" distT="0" distB="0" distL="114300" distR="114300" simplePos="0" locked="0" layoutInCell="0" allowOverlap="1" relativeHeight="7">
            <wp:simplePos x="0" y="0"/>
            <wp:positionH relativeFrom="column">
              <wp:align>center</wp:align>
            </wp:positionH>
            <wp:positionV relativeFrom="paragraph">
              <wp:posOffset>263525</wp:posOffset>
            </wp:positionV>
            <wp:extent cx="3182620" cy="3723005"/>
            <wp:effectExtent l="0" t="0" r="0" b="0"/>
            <wp:wrapTopAndBottom/>
            <wp:docPr id="3" name="obrázek 19" descr="C:\internet\xxx\OBR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 19" descr="C:\internet\xxx\OBR6.TIF"/>
                    <pic:cNvPicPr>
                      <a:picLocks noChangeAspect="1" noChangeArrowheads="1"/>
                    </pic:cNvPicPr>
                  </pic:nvPicPr>
                  <pic:blipFill>
                    <a:blip r:embed="rId7"/>
                    <a:stretch>
                      <a:fillRect/>
                    </a:stretch>
                  </pic:blipFill>
                  <pic:spPr bwMode="auto">
                    <a:xfrm>
                      <a:off x="0" y="0"/>
                      <a:ext cx="3182620" cy="3723005"/>
                    </a:xfrm>
                    <a:prstGeom prst="rect">
                      <a:avLst/>
                    </a:prstGeom>
                    <a:noFill/>
                  </pic:spPr>
                </pic:pic>
              </a:graphicData>
            </a:graphic>
          </wp:anchor>
        </w:drawing>
      </w:r>
    </w:p>
    <w:p>
      <w:pPr>
        <w:pStyle w:val="Normal"/>
        <w:jc w:val="center"/>
        <w:rPr>
          <w:b/>
        </w:rPr>
      </w:pPr>
      <w:r>
        <w:rPr>
          <w:b/>
        </w:rPr>
      </w:r>
    </w:p>
    <w:p>
      <w:pPr>
        <w:pStyle w:val="Heading2"/>
        <w:jc w:val="center"/>
        <w:rPr/>
      </w:pPr>
      <w:r>
        <w:rPr/>
        <w:t>Obr. 3. Deska plošných spojů</w:t>
      </w:r>
    </w:p>
    <w:p>
      <w:pPr>
        <w:pStyle w:val="Normal"/>
        <w:jc w:val="center"/>
        <w:rPr>
          <w:b/>
        </w:rPr>
      </w:pPr>
      <w:r>
        <w:rPr>
          <w:b/>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Heading4"/>
        <w:jc w:val="center"/>
        <w:rPr/>
      </w:pPr>
      <w:r>
        <w:rPr/>
        <w:drawing>
          <wp:anchor behindDoc="0" distT="0" distB="0" distL="114300" distR="114300" simplePos="0" locked="0" layoutInCell="0" allowOverlap="1" relativeHeight="4">
            <wp:simplePos x="0" y="0"/>
            <wp:positionH relativeFrom="column">
              <wp:align>center</wp:align>
            </wp:positionH>
            <wp:positionV relativeFrom="paragraph">
              <wp:posOffset>91440</wp:posOffset>
            </wp:positionV>
            <wp:extent cx="3535680" cy="7534275"/>
            <wp:effectExtent l="0" t="0" r="0" b="0"/>
            <wp:wrapTopAndBottom/>
            <wp:docPr id="4" name="obrázek 13" descr="C:\internet\xxx\OBR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ázek 13" descr="C:\internet\xxx\OBR3.TIF"/>
                    <pic:cNvPicPr>
                      <a:picLocks noChangeAspect="1" noChangeArrowheads="1"/>
                    </pic:cNvPicPr>
                  </pic:nvPicPr>
                  <pic:blipFill>
                    <a:blip r:embed="rId8"/>
                    <a:stretch>
                      <a:fillRect/>
                    </a:stretch>
                  </pic:blipFill>
                  <pic:spPr bwMode="auto">
                    <a:xfrm>
                      <a:off x="0" y="0"/>
                      <a:ext cx="3535680" cy="7534275"/>
                    </a:xfrm>
                    <a:prstGeom prst="rect">
                      <a:avLst/>
                    </a:prstGeom>
                    <a:noFill/>
                  </pic:spPr>
                </pic:pic>
              </a:graphicData>
            </a:graphic>
          </wp:anchor>
        </w:drawing>
      </w:r>
    </w:p>
    <w:p>
      <w:pPr>
        <w:pStyle w:val="Heading4"/>
        <w:rPr>
          <w:i w:val="false"/>
          <w:i w:val="false"/>
        </w:rPr>
      </w:pPr>
      <w:r>
        <w:rPr>
          <w:i w:val="false"/>
        </w:rPr>
      </w:r>
    </w:p>
    <w:p>
      <w:pPr>
        <w:pStyle w:val="Heading4"/>
        <w:rPr/>
      </w:pPr>
      <w:r>
        <w:rPr/>
        <w:t>Obr. 4. Schéma zapojení přijímače</w:t>
      </w:r>
    </w:p>
    <w:p>
      <w:pPr>
        <w:pStyle w:val="Normal"/>
        <w:jc w:val="center"/>
        <w:rPr>
          <w:b/>
        </w:rPr>
      </w:pPr>
      <w:r>
        <w:rPr>
          <w:b/>
        </w:rPr>
        <w:drawing>
          <wp:anchor behindDoc="0" distT="0" distB="0" distL="114300" distR="114300" simplePos="0" locked="0" layoutInCell="0" allowOverlap="1" relativeHeight="5">
            <wp:simplePos x="0" y="0"/>
            <wp:positionH relativeFrom="column">
              <wp:align>center</wp:align>
            </wp:positionH>
            <wp:positionV relativeFrom="paragraph">
              <wp:posOffset>-581025</wp:posOffset>
            </wp:positionV>
            <wp:extent cx="3108325" cy="4706620"/>
            <wp:effectExtent l="0" t="0" r="0" b="0"/>
            <wp:wrapTopAndBottom/>
            <wp:docPr id="5" name="obrázek 14" descr="C:\internet\xxx\OBR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ázek 14" descr="C:\internet\xxx\OBR4.TIF"/>
                    <pic:cNvPicPr>
                      <a:picLocks noChangeAspect="1" noChangeArrowheads="1"/>
                    </pic:cNvPicPr>
                  </pic:nvPicPr>
                  <pic:blipFill>
                    <a:blip r:embed="rId9"/>
                    <a:stretch>
                      <a:fillRect/>
                    </a:stretch>
                  </pic:blipFill>
                  <pic:spPr bwMode="auto">
                    <a:xfrm>
                      <a:off x="0" y="0"/>
                      <a:ext cx="3108325" cy="4706620"/>
                    </a:xfrm>
                    <a:prstGeom prst="rect">
                      <a:avLst/>
                    </a:prstGeom>
                    <a:noFill/>
                  </pic:spPr>
                </pic:pic>
              </a:graphicData>
            </a:graphic>
          </wp:anchor>
        </w:drawing>
      </w:r>
    </w:p>
    <w:p>
      <w:pPr>
        <w:pStyle w:val="Normal"/>
        <w:jc w:val="center"/>
        <w:rPr>
          <w:b/>
          <w:i/>
          <w:i/>
        </w:rPr>
      </w:pPr>
      <w:r>
        <w:rPr>
          <w:b/>
          <w:i/>
        </w:rPr>
        <w:t xml:space="preserve">Obr. 5. Pohled do </w:t>
      </w:r>
      <w:r>
        <w:rPr>
          <w:b/>
        </w:rPr>
        <w:t>krabičky</w:t>
      </w:r>
    </w:p>
    <w:p>
      <w:pPr>
        <w:pStyle w:val="Normal"/>
        <w:jc w:val="center"/>
        <w:rPr>
          <w:b/>
          <w:i/>
          <w:i/>
        </w:rPr>
      </w:pPr>
      <w:r>
        <w:rPr>
          <w:b/>
          <w:i/>
        </w:rPr>
      </w:r>
    </w:p>
    <w:p>
      <w:pPr>
        <w:pStyle w:val="Normal"/>
        <w:jc w:val="center"/>
        <w:rPr>
          <w:b/>
          <w:i/>
          <w:i/>
        </w:rPr>
      </w:pPr>
      <w:r>
        <w:rPr>
          <w:b/>
          <w:i/>
        </w:rPr>
      </w:r>
    </w:p>
    <w:p>
      <w:pPr>
        <w:pStyle w:val="Normal"/>
        <w:jc w:val="center"/>
        <w:rPr>
          <w:b/>
          <w:i/>
          <w:i/>
        </w:rPr>
      </w:pPr>
      <w:r>
        <w:rPr>
          <w:b/>
          <w:i/>
        </w:rPr>
        <w:drawing>
          <wp:anchor behindDoc="0" distT="0" distB="0" distL="114300" distR="114300" simplePos="0" locked="0" layoutInCell="0" allowOverlap="1" relativeHeight="6">
            <wp:simplePos x="0" y="0"/>
            <wp:positionH relativeFrom="column">
              <wp:align>center</wp:align>
            </wp:positionH>
            <wp:positionV relativeFrom="paragraph">
              <wp:posOffset>52705</wp:posOffset>
            </wp:positionV>
            <wp:extent cx="3147060" cy="3684270"/>
            <wp:effectExtent l="0" t="0" r="0" b="0"/>
            <wp:wrapTopAndBottom/>
            <wp:docPr id="6" name="obrázek 16" descr="C:\internet\xxx\OBR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ázek 16" descr="C:\internet\xxx\OBR5.TIF"/>
                    <pic:cNvPicPr>
                      <a:picLocks noChangeAspect="1" noChangeArrowheads="1"/>
                    </pic:cNvPicPr>
                  </pic:nvPicPr>
                  <pic:blipFill>
                    <a:blip r:embed="rId10"/>
                    <a:stretch>
                      <a:fillRect/>
                    </a:stretch>
                  </pic:blipFill>
                  <pic:spPr bwMode="auto">
                    <a:xfrm>
                      <a:off x="0" y="0"/>
                      <a:ext cx="3147060" cy="3684270"/>
                    </a:xfrm>
                    <a:prstGeom prst="rect">
                      <a:avLst/>
                    </a:prstGeom>
                    <a:noFill/>
                  </pic:spPr>
                </pic:pic>
              </a:graphicData>
            </a:graphic>
          </wp:anchor>
        </w:drawing>
      </w:r>
    </w:p>
    <w:p>
      <w:pPr>
        <w:pStyle w:val="Normal"/>
        <w:jc w:val="center"/>
        <w:rPr>
          <w:b/>
          <w:i/>
          <w:i/>
        </w:rPr>
      </w:pPr>
      <w:r>
        <w:rPr>
          <w:b/>
          <w:i/>
        </w:rPr>
        <w:t>Obr. 6. Osazovací výkres</w:t>
      </w:r>
    </w:p>
    <w:p>
      <w:pPr>
        <w:pStyle w:val="Normal"/>
        <w:jc w:val="center"/>
        <w:rPr>
          <w:b/>
        </w:rPr>
      </w:pPr>
      <w:r>
        <w:rPr>
          <w:b/>
        </w:rPr>
        <w:drawing>
          <wp:anchor behindDoc="0" distT="0" distB="0" distL="114300" distR="114300" simplePos="0" locked="0" layoutInCell="0" allowOverlap="1" relativeHeight="8">
            <wp:simplePos x="0" y="0"/>
            <wp:positionH relativeFrom="column">
              <wp:align>center</wp:align>
            </wp:positionH>
            <wp:positionV relativeFrom="paragraph">
              <wp:posOffset>-274320</wp:posOffset>
            </wp:positionV>
            <wp:extent cx="3585845" cy="6444615"/>
            <wp:effectExtent l="0" t="0" r="0" b="0"/>
            <wp:wrapTopAndBottom/>
            <wp:docPr id="7" name="obrázek 21" descr="C:\internet\xxx\OBR78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ázek 21" descr="C:\internet\xxx\OBR789.TIF"/>
                    <pic:cNvPicPr>
                      <a:picLocks noChangeAspect="1" noChangeArrowheads="1"/>
                    </pic:cNvPicPr>
                  </pic:nvPicPr>
                  <pic:blipFill>
                    <a:blip r:embed="rId11"/>
                    <a:stretch>
                      <a:fillRect/>
                    </a:stretch>
                  </pic:blipFill>
                  <pic:spPr bwMode="auto">
                    <a:xfrm>
                      <a:off x="0" y="0"/>
                      <a:ext cx="3585845" cy="6444615"/>
                    </a:xfrm>
                    <a:prstGeom prst="rect">
                      <a:avLst/>
                    </a:prstGeom>
                    <a:noFill/>
                  </pic:spPr>
                </pic:pic>
              </a:graphicData>
            </a:graphic>
          </wp:anchor>
        </w:drawing>
      </w:r>
    </w:p>
    <w:p>
      <w:pPr>
        <w:pStyle w:val="Heading2"/>
        <w:jc w:val="center"/>
        <w:rPr/>
      </w:pPr>
      <w:r>
        <w:rPr/>
        <w:t>Obr. 7. Přední panel, zadní panel a zapojení tranzistoru</w:t>
      </w:r>
    </w:p>
    <w:p>
      <w:pPr>
        <w:pStyle w:val="Normal"/>
        <w:jc w:val="center"/>
        <w:rPr/>
      </w:pPr>
      <w:r>
        <w:rPr/>
      </w:r>
    </w:p>
    <w:sectPr>
      <w:type w:val="nextPage"/>
      <w:pgSz w:w="11906" w:h="16838"/>
      <w:pgMar w:left="1800" w:right="1800" w:gutter="0" w:header="0" w:top="1440" w:footer="0" w:bottom="1440"/>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Liberation Sans">
    <w:altName w:val="Arial"/>
    <w:charset w:val="ee"/>
    <w:family w:val="swiss"/>
    <w:pitch w:val="variable"/>
  </w:font>
  <w:font w:name="Tahoma">
    <w:charset w:val="ee"/>
    <w:family w:val="swiss"/>
    <w:pitch w:val="variable"/>
  </w:font>
  <w:font w:name="Courier New">
    <w:charset w:val="ee"/>
    <w:family w:val="auto"/>
    <w:pitch w:val="variable"/>
  </w:font>
</w:fonts>
</file>

<file path=word/settings.xml><?xml version="1.0" encoding="utf-8"?>
<w:settings xmlns:w="http://schemas.openxmlformats.org/wordprocessingml/2006/main">
  <w:zoom w:percent="140"/>
  <w:defaultTabStop w:val="720"/>
  <w:autoHyphenation w:val="true"/>
  <w:doNotHyphenateCaps/>
  <w:hyphenationZone w:val="425"/>
  <w:compat>
    <w:compatSetting w:name="compatibilityMode" w:uri="http://schemas.microsoft.com/office/word" w:val="12"/>
  </w:compat>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cs-CZ" w:eastAsia="cs-CZ"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semiHidden="0" w:unhideWhenUsed="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924b8"/>
    <w:pPr>
      <w:widowControl/>
      <w:suppressAutoHyphens w:val="true"/>
      <w:bidi w:val="0"/>
      <w:spacing w:before="0" w:after="0"/>
      <w:jc w:val="left"/>
    </w:pPr>
    <w:rPr>
      <w:rFonts w:ascii="Times New Roman" w:hAnsi="Times New Roman" w:eastAsia="Times New Roman" w:cs="Times New Roman"/>
      <w:color w:val="auto"/>
      <w:kern w:val="0"/>
      <w:sz w:val="20"/>
      <w:szCs w:val="20"/>
      <w:lang w:val="cs-CZ" w:eastAsia="cs-CZ" w:bidi="ar-SA"/>
    </w:rPr>
  </w:style>
  <w:style w:type="paragraph" w:styleId="Heading1">
    <w:name w:val="heading 1"/>
    <w:basedOn w:val="Normal"/>
    <w:next w:val="Normal"/>
    <w:qFormat/>
    <w:rsid w:val="002924b8"/>
    <w:pPr>
      <w:keepNext w:val="true"/>
      <w:tabs>
        <w:tab w:val="clear" w:pos="720"/>
        <w:tab w:val="left" w:pos="851" w:leader="none"/>
        <w:tab w:val="left" w:pos="2835" w:leader="none"/>
        <w:tab w:val="left" w:pos="6804" w:leader="none"/>
      </w:tabs>
      <w:spacing w:before="120" w:after="0"/>
      <w:outlineLvl w:val="0"/>
    </w:pPr>
    <w:rPr>
      <w:sz w:val="24"/>
    </w:rPr>
  </w:style>
  <w:style w:type="paragraph" w:styleId="Heading2">
    <w:name w:val="heading 2"/>
    <w:basedOn w:val="Normal"/>
    <w:next w:val="Normal"/>
    <w:qFormat/>
    <w:rsid w:val="002924b8"/>
    <w:pPr>
      <w:keepNext w:val="true"/>
      <w:outlineLvl w:val="1"/>
    </w:pPr>
    <w:rPr>
      <w:b/>
      <w:i/>
    </w:rPr>
  </w:style>
  <w:style w:type="paragraph" w:styleId="Heading3">
    <w:name w:val="heading 3"/>
    <w:basedOn w:val="Normal"/>
    <w:next w:val="Normal"/>
    <w:qFormat/>
    <w:rsid w:val="002924b8"/>
    <w:pPr>
      <w:keepNext w:val="true"/>
      <w:spacing w:before="120" w:after="0"/>
      <w:jc w:val="center"/>
      <w:outlineLvl w:val="2"/>
    </w:pPr>
    <w:rPr>
      <w:sz w:val="24"/>
    </w:rPr>
  </w:style>
  <w:style w:type="paragraph" w:styleId="Heading4">
    <w:name w:val="heading 4"/>
    <w:basedOn w:val="Normal"/>
    <w:next w:val="Normal"/>
    <w:qFormat/>
    <w:rsid w:val="002924b8"/>
    <w:pPr>
      <w:keepNext w:val="true"/>
      <w:jc w:val="center"/>
      <w:outlineLvl w:val="3"/>
    </w:pPr>
    <w:rPr>
      <w:b/>
      <w:i/>
    </w:rPr>
  </w:style>
  <w:style w:type="character" w:styleId="DefaultParagraphFont" w:default="1">
    <w:name w:val="Default Paragraph Font"/>
    <w:uiPriority w:val="1"/>
    <w:semiHidden/>
    <w:unhideWhenUsed/>
    <w:qFormat/>
    <w:rPr/>
  </w:style>
  <w:style w:type="character" w:styleId="Hyperlink">
    <w:name w:val="Hyperlink"/>
    <w:basedOn w:val="DefaultParagraphFont"/>
    <w:semiHidden/>
    <w:rsid w:val="002924b8"/>
    <w:rPr>
      <w:color w:val="0000FF"/>
      <w:u w:val="single"/>
    </w:rPr>
  </w:style>
  <w:style w:type="character" w:styleId="FollowedHyperlink">
    <w:name w:val="FollowedHyperlink"/>
    <w:basedOn w:val="DefaultParagraphFont"/>
    <w:semiHidden/>
    <w:rsid w:val="002924b8"/>
    <w:rPr>
      <w:color w:val="800080"/>
      <w:u w:val="single"/>
    </w:rPr>
  </w:style>
  <w:style w:type="paragraph" w:styleId="Nadpis">
    <w:name w:val="Nadpis"/>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semiHidden/>
    <w:rsid w:val="002924b8"/>
    <w:pPr>
      <w:spacing w:before="120" w:after="0"/>
      <w:jc w:val="both"/>
    </w:pPr>
    <w:rPr/>
  </w:style>
  <w:style w:type="paragraph" w:styleId="List">
    <w:name w:val="List"/>
    <w:basedOn w:val="BodyText"/>
    <w:pPr/>
    <w:rPr>
      <w:rFonts w:cs="Lucida Sans"/>
    </w:rPr>
  </w:style>
  <w:style w:type="paragraph" w:styleId="Caption">
    <w:name w:val="caption"/>
    <w:basedOn w:val="Normal"/>
    <w:next w:val="Normal"/>
    <w:qFormat/>
    <w:rsid w:val="002924b8"/>
    <w:pPr/>
    <w:rPr>
      <w:b/>
      <w:i/>
    </w:rPr>
  </w:style>
  <w:style w:type="paragraph" w:styleId="Rejstk">
    <w:name w:val="Rejstřík"/>
    <w:basedOn w:val="Normal"/>
    <w:qFormat/>
    <w:pPr>
      <w:suppressLineNumbers/>
    </w:pPr>
    <w:rPr>
      <w:rFonts w:cs="Lucida Sans"/>
    </w:rPr>
  </w:style>
  <w:style w:type="paragraph" w:styleId="Nadpisuser">
    <w:name w:val="Nadpis (user)"/>
    <w:basedOn w:val="Normal"/>
    <w:next w:val="BodyText"/>
    <w:qFormat/>
    <w:pPr>
      <w:keepNext w:val="true"/>
      <w:spacing w:before="240" w:after="120"/>
    </w:pPr>
    <w:rPr>
      <w:rFonts w:ascii="Liberation Sans" w:hAnsi="Liberation Sans" w:eastAsia="Microsoft YaHei" w:cs="Lucida Sans"/>
      <w:sz w:val="28"/>
      <w:szCs w:val="28"/>
    </w:rPr>
  </w:style>
  <w:style w:type="paragraph" w:styleId="Rejstkuser">
    <w:name w:val="Rejstřík (user)"/>
    <w:basedOn w:val="Normal"/>
    <w:qFormat/>
    <w:pPr>
      <w:suppressLineNumbers/>
    </w:pPr>
    <w:rPr>
      <w:rFonts w:cs="Lucida Sans"/>
    </w:rPr>
  </w:style>
  <w:style w:type="paragraph" w:styleId="BodyTextIndent">
    <w:name w:val="Body Text Indent"/>
    <w:basedOn w:val="Normal"/>
    <w:semiHidden/>
    <w:rsid w:val="002924b8"/>
    <w:pPr>
      <w:ind w:firstLine="720"/>
      <w:jc w:val="both"/>
    </w:pPr>
    <w:rPr/>
  </w:style>
  <w:style w:type="paragraph" w:styleId="DocumentMap">
    <w:name w:val="Document Map"/>
    <w:basedOn w:val="Normal"/>
    <w:semiHidden/>
    <w:qFormat/>
    <w:rsid w:val="002924b8"/>
    <w:pPr>
      <w:shd w:val="clear" w:color="auto" w:fill="000080"/>
    </w:pPr>
    <w:rPr>
      <w:rFonts w:ascii="Tahoma" w:hAnsi="Tahoma"/>
    </w:rPr>
  </w:style>
  <w:style w:type="paragraph" w:styleId="Title">
    <w:name w:val="Title"/>
    <w:basedOn w:val="Normal"/>
    <w:qFormat/>
    <w:rsid w:val="002924b8"/>
    <w:pPr>
      <w:spacing w:lineRule="auto" w:line="480" w:before="120" w:after="0"/>
      <w:jc w:val="center"/>
    </w:pPr>
    <w:rPr>
      <w:sz w:val="36"/>
      <w:u w:val="single"/>
    </w:rPr>
  </w:style>
  <w:style w:type="paragraph" w:styleId="BodyTextIndent2">
    <w:name w:val="Body Text Indent 2"/>
    <w:basedOn w:val="Normal"/>
    <w:semiHidden/>
    <w:qFormat/>
    <w:rsid w:val="002924b8"/>
    <w:pPr>
      <w:tabs>
        <w:tab w:val="clear" w:pos="720"/>
        <w:tab w:val="left" w:pos="851" w:leader="none"/>
        <w:tab w:val="left" w:pos="5387" w:leader="none"/>
        <w:tab w:val="left" w:pos="6804" w:leader="none"/>
      </w:tabs>
      <w:ind w:hanging="720" w:left="720"/>
    </w:pPr>
    <w:rPr/>
  </w:style>
  <w:style w:type="numbering" w:styleId="Bezseznamu" w:default="1">
    <w:name w:val="Bez seznamu"/>
    <w:uiPriority w:val="99"/>
    <w:semiHidden/>
    <w:unhideWhenUsed/>
    <w:qFormat/>
  </w:style>
  <w:style w:type="table" w:default="1" w:styleId="Normlntabulka">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www.gme.cz/" TargetMode="External"/><Relationship Id="rId5" Type="http://schemas.openxmlformats.org/officeDocument/2006/relationships/hyperlink" Target="http://www.ges.cz/" TargetMode="External"/><Relationship Id="rId6" Type="http://schemas.openxmlformats.org/officeDocument/2006/relationships/hyperlink" Target="http://www.st.com/" TargetMode="External"/><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iv sady Office">
  <a:themeElements>
    <a:clrScheme name="Kancelář">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54</TotalTime>
  <Application>LibreOffice/25.2.0.3$Windows_X86_64 LibreOffice_project/e1cf4a87eb02d755bce1a01209907ea5ddc8f069</Application>
  <AppVersion>15.0000</AppVersion>
  <Pages>8</Pages>
  <Words>1940</Words>
  <Characters>10856</Characters>
  <CharactersWithSpaces>12813</CharactersWithSpaces>
  <Paragraphs>138</Paragraphs>
  <Company>MITE Hradec Kralove s.r.o.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2013-03-28T20:08:00Z</dcterms:created>
  <dc:creator>Jiří Martinek</dc:creator>
  <dc:description>Filtr T602 id:</dc:description>
  <dc:language>cs-CZ</dc:language>
  <cp:lastModifiedBy/>
  <cp:lastPrinted>2000-08-23T16:22:00Z</cp:lastPrinted>
  <dcterms:modified xsi:type="dcterms:W3CDTF">2025-04-06T21:12:02Z</dcterms:modified>
  <cp:revision>19</cp:revision>
  <dc:subject/>
  <dc:title>Jednoduchý přijímač CW/SSB stanic</dc:title>
</cp:coreProperties>
</file>

<file path=docProps/custom.xml><?xml version="1.0" encoding="utf-8"?>
<Properties xmlns="http://schemas.openxmlformats.org/officeDocument/2006/custom-properties" xmlns:vt="http://schemas.openxmlformats.org/officeDocument/2006/docPropsVTypes"/>
</file>